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100</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R4-2113200</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1</w:t>
      </w:r>
      <w:r>
        <w:rPr>
          <w:rFonts w:hint="eastAsia" w:ascii="Arial" w:hAnsi="Arial" w:eastAsia="宋体"/>
          <w:b/>
          <w:sz w:val="24"/>
          <w:szCs w:val="24"/>
          <w:lang w:val="en-US" w:eastAsia="zh-CN"/>
        </w:rPr>
        <w:t>6th</w:t>
      </w:r>
      <w:r>
        <w:rPr>
          <w:rFonts w:ascii="Arial" w:hAnsi="Arial" w:eastAsia="宋体"/>
          <w:b/>
          <w:sz w:val="24"/>
          <w:szCs w:val="24"/>
          <w:lang w:eastAsia="zh-CN"/>
        </w:rPr>
        <w:t>-27</w:t>
      </w:r>
      <w:r>
        <w:rPr>
          <w:rFonts w:hint="eastAsia" w:ascii="Arial" w:hAnsi="Arial" w:eastAsia="宋体"/>
          <w:b/>
          <w:sz w:val="24"/>
          <w:szCs w:val="24"/>
          <w:lang w:val="en-US" w:eastAsia="zh-CN"/>
        </w:rPr>
        <w:t>th</w:t>
      </w:r>
      <w:r>
        <w:rPr>
          <w:rFonts w:ascii="Arial" w:hAnsi="Arial" w:eastAsia="宋体"/>
          <w:b/>
          <w:sz w:val="24"/>
          <w:szCs w:val="24"/>
          <w:lang w:eastAsia="zh-CN"/>
        </w:rPr>
        <w:t xml:space="preserve">, </w:t>
      </w:r>
      <w:r>
        <w:rPr>
          <w:rFonts w:hint="eastAsia" w:ascii="Arial" w:hAnsi="Arial" w:eastAsia="宋体"/>
          <w:b/>
          <w:sz w:val="24"/>
          <w:szCs w:val="24"/>
          <w:lang w:val="en-US" w:eastAsia="zh-CN"/>
        </w:rPr>
        <w:t xml:space="preserve">Aug, </w:t>
      </w:r>
      <w:r>
        <w:rPr>
          <w:rFonts w:ascii="Arial" w:hAnsi="Arial" w:eastAsia="宋体"/>
          <w:b/>
          <w:sz w:val="24"/>
          <w:szCs w:val="24"/>
          <w:lang w:eastAsia="zh-CN"/>
        </w:rPr>
        <w:t>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 on MRTD requirements for inter-band DL CA in FR2</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9.4.6.1.1</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w:t>
      </w:r>
      <w:r>
        <w:rPr>
          <w:rFonts w:hint="eastAsia" w:ascii="Arial" w:hAnsi="Arial" w:eastAsia="宋体" w:cs="Arial"/>
          <w:b/>
          <w:bCs/>
          <w:sz w:val="24"/>
          <w:lang w:val="zh-CN" w:eastAsia="zh-CN"/>
        </w:rPr>
        <w:t>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rPr>
          <w:rFonts w:hint="eastAsia" w:eastAsia="宋体"/>
          <w:sz w:val="20"/>
          <w:lang w:val="en-US" w:eastAsia="zh-CN"/>
        </w:rPr>
      </w:pPr>
      <w:r>
        <w:rPr>
          <w:rFonts w:hint="eastAsia" w:eastAsia="宋体"/>
          <w:sz w:val="22"/>
          <w:lang w:val="en-US" w:eastAsia="zh-CN"/>
        </w:rPr>
        <w:t>In last 99e meeting, RRM requirements for FR2 Inter-band DL CA and UL CA were discussed , agreements were captured in [1]. In this contribution ,we provide our futher views on issues about MRTD requirements for FR2 inter-band DL CA.</w:t>
      </w:r>
    </w:p>
    <w:p>
      <w:pPr>
        <w:rPr>
          <w:rFonts w:hint="eastAsia" w:eastAsia="宋体"/>
          <w:sz w:val="20"/>
          <w:lang w:val="en-US" w:eastAsia="zh-CN"/>
        </w:rPr>
      </w:pPr>
    </w:p>
    <w:p>
      <w:pPr>
        <w:pStyle w:val="29"/>
        <w:numPr>
          <w:ilvl w:val="0"/>
          <w:numId w:val="7"/>
        </w:numPr>
        <w:jc w:val="both"/>
        <w:rPr>
          <w:rFonts w:hint="eastAsia"/>
          <w:lang w:val="en-US" w:eastAsia="zh-CN"/>
        </w:rPr>
      </w:pPr>
      <w:r>
        <w:rPr>
          <w:rFonts w:hint="eastAsia"/>
          <w:lang w:val="en-US" w:eastAsia="zh-CN"/>
        </w:rPr>
        <w:t>Discussions</w:t>
      </w: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eastAsia" w:eastAsia="宋体"/>
          <w:sz w:val="22"/>
          <w:lang w:val="en-US" w:eastAsia="zh-CN"/>
        </w:rPr>
      </w:pPr>
    </w:p>
    <w:p>
      <w:pPr>
        <w:pBdr>
          <w:top w:val="none" w:color="auto" w:sz="0" w:space="0"/>
          <w:left w:val="none" w:color="auto" w:sz="0" w:space="0"/>
          <w:bottom w:val="none" w:color="auto" w:sz="0" w:space="0"/>
          <w:right w:val="none" w:color="auto" w:sz="0" w:space="0"/>
          <w:between w:val="none" w:color="auto" w:sz="0" w:space="0"/>
        </w:pBdr>
        <w:rPr>
          <w:rFonts w:hint="default" w:eastAsia="宋体"/>
          <w:b w:val="0"/>
          <w:bCs w:val="0"/>
          <w:sz w:val="22"/>
          <w:lang w:val="en-US" w:eastAsia="zh-CN"/>
        </w:rPr>
      </w:pPr>
      <w:r>
        <w:rPr>
          <w:rFonts w:hint="eastAsia" w:eastAsia="宋体"/>
          <w:b w:val="0"/>
          <w:bCs w:val="0"/>
          <w:sz w:val="22"/>
          <w:lang w:val="en-US" w:eastAsia="zh-CN"/>
        </w:rPr>
        <w:t xml:space="preserve">For the issue 1-1-2 </w:t>
      </w:r>
      <w:r>
        <w:rPr>
          <w:rFonts w:hint="default" w:eastAsia="宋体"/>
          <w:b w:val="0"/>
          <w:bCs w:val="0"/>
          <w:sz w:val="22"/>
          <w:lang w:val="en-US" w:eastAsia="zh-CN"/>
        </w:rPr>
        <w:t>“</w:t>
      </w:r>
      <w:r>
        <w:rPr>
          <w:rFonts w:hint="eastAsia" w:eastAsia="宋体"/>
          <w:b w:val="0"/>
          <w:bCs w:val="0"/>
          <w:sz w:val="22"/>
          <w:lang w:val="en-US" w:eastAsia="zh-CN"/>
        </w:rPr>
        <w:t>How to derive MRTD for FR2 inter-band CA</w:t>
      </w:r>
      <w:r>
        <w:rPr>
          <w:rFonts w:hint="default" w:eastAsia="宋体"/>
          <w:b w:val="0"/>
          <w:bCs w:val="0"/>
          <w:sz w:val="22"/>
          <w:lang w:val="en-US" w:eastAsia="zh-CN"/>
        </w:rPr>
        <w:t>”</w:t>
      </w:r>
      <w:r>
        <w:rPr>
          <w:rFonts w:hint="eastAsia" w:eastAsia="宋体"/>
          <w:b w:val="0"/>
          <w:bCs w:val="0"/>
          <w:sz w:val="22"/>
          <w:lang w:val="en-US" w:eastAsia="zh-CN"/>
        </w:rPr>
        <w:t>, there are the following options on the table:</w:t>
      </w:r>
    </w:p>
    <w:p>
      <w:pPr>
        <w:pBdr>
          <w:top w:val="single" w:color="auto" w:sz="4" w:space="0"/>
          <w:left w:val="single" w:color="auto" w:sz="4" w:space="0"/>
          <w:bottom w:val="single" w:color="auto" w:sz="4" w:space="0"/>
          <w:right w:val="single" w:color="auto" w:sz="4" w:space="0"/>
        </w:pBdr>
        <w:rPr>
          <w:rFonts w:hint="eastAsia" w:eastAsia="宋体"/>
          <w:sz w:val="22"/>
          <w:lang w:val="en-US" w:eastAsia="zh-CN"/>
        </w:rPr>
      </w:pPr>
      <w:r>
        <w:rPr>
          <w:rFonts w:hint="eastAsia" w:eastAsia="宋体"/>
          <w:sz w:val="22"/>
          <w:lang w:val="en-US" w:eastAsia="zh-CN"/>
        </w:rPr>
        <w:t>Issue 1-1-2: How to derive MRTD for FR2 inter-band CA?</w:t>
      </w:r>
    </w:p>
    <w:p>
      <w:pPr>
        <w:pBdr>
          <w:top w:val="single" w:color="auto" w:sz="4" w:space="0"/>
          <w:left w:val="single" w:color="auto" w:sz="4" w:space="0"/>
          <w:bottom w:val="single" w:color="auto" w:sz="4" w:space="0"/>
          <w:right w:val="single" w:color="auto" w:sz="4" w:space="0"/>
        </w:pBdr>
        <w:rPr>
          <w:rFonts w:hint="eastAsia" w:eastAsia="宋体"/>
          <w:sz w:val="22"/>
          <w:lang w:val="en-US" w:eastAsia="zh-CN"/>
        </w:rPr>
      </w:pPr>
      <w:r>
        <w:rPr>
          <w:rFonts w:hint="eastAsia" w:eastAsia="宋体"/>
          <w:sz w:val="22"/>
          <w:lang w:val="en-US" w:eastAsia="zh-CN"/>
        </w:rPr>
        <w:t>FFS:</w:t>
      </w:r>
    </w:p>
    <w:p>
      <w:pPr>
        <w:pBdr>
          <w:top w:val="single" w:color="auto" w:sz="4" w:space="0"/>
          <w:left w:val="single" w:color="auto" w:sz="4" w:space="0"/>
          <w:bottom w:val="single" w:color="auto" w:sz="4" w:space="0"/>
          <w:right w:val="single" w:color="auto" w:sz="4" w:space="0"/>
        </w:pBdr>
        <w:rPr>
          <w:rFonts w:hint="eastAsia" w:eastAsia="宋体"/>
          <w:sz w:val="22"/>
          <w:lang w:val="en-US" w:eastAsia="zh-CN"/>
        </w:rPr>
      </w:pPr>
      <w:r>
        <w:rPr>
          <w:rFonts w:hint="eastAsia" w:eastAsia="宋体"/>
          <w:sz w:val="22"/>
          <w:lang w:val="en-US" w:eastAsia="zh-CN"/>
        </w:rPr>
        <w:t>Option 1: MRTD = TAE + Δ_propagation_time (Docomo, NEC, Huawei, ZTE, Nokia, Ericsson)</w:t>
      </w:r>
    </w:p>
    <w:p>
      <w:pPr>
        <w:pBdr>
          <w:top w:val="single" w:color="auto" w:sz="4" w:space="0"/>
          <w:left w:val="single" w:color="auto" w:sz="4" w:space="0"/>
          <w:bottom w:val="single" w:color="auto" w:sz="4" w:space="0"/>
          <w:right w:val="single" w:color="auto" w:sz="4" w:space="0"/>
        </w:pBdr>
        <w:rPr>
          <w:rFonts w:hint="eastAsia" w:eastAsia="宋体"/>
          <w:sz w:val="22"/>
          <w:lang w:val="en-US" w:eastAsia="zh-CN"/>
        </w:rPr>
      </w:pPr>
      <w:r>
        <w:rPr>
          <w:rFonts w:hint="eastAsia" w:eastAsia="宋体"/>
          <w:sz w:val="22"/>
          <w:lang w:val="en-US" w:eastAsia="zh-CN"/>
        </w:rPr>
        <w:t>TAE is 3μs, i.e. keep Rel-15 values for BS TAE unchanged</w:t>
      </w:r>
    </w:p>
    <w:p>
      <w:pPr>
        <w:pBdr>
          <w:top w:val="single" w:color="auto" w:sz="4" w:space="0"/>
          <w:left w:val="single" w:color="auto" w:sz="4" w:space="0"/>
          <w:bottom w:val="single" w:color="auto" w:sz="4" w:space="0"/>
          <w:right w:val="single" w:color="auto" w:sz="4" w:space="0"/>
        </w:pBdr>
        <w:rPr>
          <w:rFonts w:hint="eastAsia" w:eastAsia="宋体"/>
          <w:sz w:val="22"/>
          <w:lang w:val="en-US" w:eastAsia="zh-CN"/>
        </w:rPr>
      </w:pPr>
      <w:r>
        <w:rPr>
          <w:rFonts w:hint="eastAsia" w:eastAsia="宋体"/>
          <w:sz w:val="22"/>
          <w:lang w:val="en-US" w:eastAsia="zh-CN"/>
        </w:rPr>
        <w:t>Option 2: MRTD requirements for CBM UEs shall not rely on FR2 inter-band TAE requirement. (Xiaomi, Qualcomm)</w:t>
      </w:r>
    </w:p>
    <w:p>
      <w:pPr>
        <w:pBdr>
          <w:top w:val="single" w:color="auto" w:sz="4" w:space="0"/>
          <w:left w:val="single" w:color="auto" w:sz="4" w:space="0"/>
          <w:bottom w:val="single" w:color="auto" w:sz="4" w:space="0"/>
          <w:right w:val="single" w:color="auto" w:sz="4" w:space="0"/>
        </w:pBdr>
        <w:rPr>
          <w:rFonts w:hint="eastAsia" w:eastAsia="宋体"/>
          <w:sz w:val="22"/>
          <w:lang w:val="en-US" w:eastAsia="zh-CN"/>
        </w:rPr>
      </w:pPr>
      <w:r>
        <w:rPr>
          <w:rFonts w:hint="eastAsia" w:eastAsia="宋体"/>
          <w:sz w:val="22"/>
          <w:lang w:val="en-US" w:eastAsia="zh-CN"/>
        </w:rPr>
        <w:t>Option 3: focus on Issue 1-1-1. (Vivo, Mediatek, Intel)</w:t>
      </w:r>
    </w:p>
    <w:p>
      <w:pPr>
        <w:pBdr>
          <w:top w:val="none" w:color="auto" w:sz="0" w:space="0"/>
          <w:left w:val="none" w:color="auto" w:sz="0" w:space="0"/>
          <w:bottom w:val="none" w:color="auto" w:sz="0" w:space="0"/>
          <w:right w:val="none" w:color="auto" w:sz="0" w:space="0"/>
          <w:between w:val="none" w:color="auto" w:sz="0" w:space="0"/>
        </w:pBdr>
        <w:spacing w:line="240" w:lineRule="auto"/>
        <w:rPr>
          <w:rFonts w:hint="eastAsia" w:eastAsia="宋体"/>
          <w:b w:val="0"/>
          <w:bCs w:val="0"/>
          <w:sz w:val="22"/>
          <w:lang w:val="en-US" w:eastAsia="zh-CN"/>
        </w:rPr>
      </w:pPr>
      <w:r>
        <w:rPr>
          <w:rFonts w:hint="eastAsia" w:eastAsia="宋体"/>
          <w:b w:val="0"/>
          <w:bCs w:val="0"/>
          <w:sz w:val="22"/>
          <w:lang w:val="en-US" w:eastAsia="zh-CN"/>
        </w:rPr>
        <w:t>MRTD is a maximum relative receive timing difference the UE shall be capable of handling. In our view, the value of MRTD should consists of a BS TAE and an RF propagation delay difference. Since we already have an agreement that the spec will define MRTD and RRM requirements for CBM capable UEs based on co-located deployment scenarios only, the RF propagation delay difference could be ignored.  We already made some analysis in the previous proposal[2] that the TAE for inter-band CCs is at around 3µs due to the timing modules applied for different CCs are independent</w:t>
      </w:r>
      <w:r>
        <w:rPr>
          <w:rFonts w:hint="default" w:eastAsia="宋体"/>
          <w:b w:val="0"/>
          <w:bCs w:val="0"/>
          <w:sz w:val="22"/>
          <w:lang w:val="en-US" w:eastAsia="zh-CN"/>
        </w:rPr>
        <w:t> with each oth</w:t>
      </w:r>
      <w:r>
        <w:rPr>
          <w:rFonts w:hint="eastAsia" w:eastAsia="宋体"/>
          <w:b w:val="0"/>
          <w:bCs w:val="0"/>
          <w:sz w:val="22"/>
          <w:lang w:val="en-US" w:eastAsia="zh-CN"/>
        </w:rPr>
        <w:t>er. Thus we suggest to take option 1 for the calculation of MRTD.</w:t>
      </w:r>
    </w:p>
    <w:p>
      <w:pPr>
        <w:rPr>
          <w:rFonts w:hint="default" w:eastAsia="宋体"/>
          <w:b/>
          <w:bCs/>
          <w:sz w:val="22"/>
          <w:lang w:val="en-US" w:eastAsia="zh-CN"/>
        </w:rPr>
      </w:pPr>
      <w:r>
        <w:rPr>
          <w:rFonts w:hint="eastAsia" w:eastAsia="宋体"/>
          <w:b/>
          <w:bCs/>
          <w:sz w:val="22"/>
          <w:lang w:val="en-US" w:eastAsia="zh-CN"/>
        </w:rPr>
        <w:t>Proposal 1: Option 1 is used to derive MRTD for FR2 inter-band CA.</w:t>
      </w: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eastAsia" w:eastAsia="宋体"/>
          <w:sz w:val="22"/>
          <w:lang w:val="en-US" w:eastAsia="zh-CN"/>
        </w:rPr>
      </w:pP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eastAsia="宋体"/>
          <w:sz w:val="22"/>
          <w:lang w:val="en-US" w:eastAsia="zh-CN"/>
        </w:rPr>
      </w:pPr>
      <w:r>
        <w:rPr>
          <w:rFonts w:hint="eastAsia" w:eastAsia="宋体"/>
          <w:sz w:val="22"/>
          <w:lang w:val="en-US" w:eastAsia="zh-CN"/>
        </w:rPr>
        <w:t>For issue 1-1-1, there were the following candidate options:</w:t>
      </w:r>
    </w:p>
    <w:p>
      <w:pPr>
        <w:keepNext w:val="0"/>
        <w:keepLines w:val="0"/>
        <w:pageBreakBefore w:val="0"/>
        <w:widowControl/>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0" w:line="260" w:lineRule="auto"/>
        <w:textAlignment w:val="auto"/>
        <w:rPr>
          <w:rFonts w:hint="eastAsia" w:eastAsia="宋体"/>
          <w:b/>
          <w:bCs/>
          <w:sz w:val="22"/>
          <w:lang w:val="en-US" w:eastAsia="zh-CN"/>
        </w:rPr>
      </w:pPr>
      <w:r>
        <w:rPr>
          <w:rFonts w:hint="eastAsia" w:eastAsia="宋体"/>
          <w:b/>
          <w:bCs/>
          <w:sz w:val="22"/>
          <w:lang w:val="en-US" w:eastAsia="zh-CN"/>
        </w:rPr>
        <w:t xml:space="preserve">Issue 1-1-1: MRTD value for FR2 inter-band CA  </w:t>
      </w:r>
    </w:p>
    <w:p>
      <w:pPr>
        <w:keepNext w:val="0"/>
        <w:keepLines w:val="0"/>
        <w:pageBreakBefore w:val="0"/>
        <w:widowControl/>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0" w:line="260" w:lineRule="auto"/>
        <w:textAlignment w:val="auto"/>
        <w:rPr>
          <w:rFonts w:hint="eastAsia" w:eastAsia="宋体"/>
          <w:b/>
          <w:bCs/>
          <w:sz w:val="22"/>
          <w:lang w:val="en-US" w:eastAsia="zh-CN"/>
        </w:rPr>
      </w:pPr>
      <w:r>
        <w:rPr>
          <w:rFonts w:hint="eastAsia" w:eastAsia="宋体"/>
          <w:b/>
          <w:bCs/>
          <w:sz w:val="22"/>
          <w:lang w:val="en-US" w:eastAsia="zh-CN"/>
        </w:rPr>
        <w:t>Agreements (in GTW):</w:t>
      </w:r>
    </w:p>
    <w:p>
      <w:pPr>
        <w:keepNext w:val="0"/>
        <w:keepLines w:val="0"/>
        <w:pageBreakBefore w:val="0"/>
        <w:widowControl/>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0" w:line="260" w:lineRule="auto"/>
        <w:textAlignment w:val="auto"/>
        <w:rPr>
          <w:rFonts w:hint="eastAsia" w:eastAsia="宋体"/>
          <w:sz w:val="22"/>
          <w:lang w:val="en-US" w:eastAsia="zh-CN"/>
        </w:rPr>
      </w:pPr>
      <w:r>
        <w:rPr>
          <w:rFonts w:hint="eastAsia" w:eastAsia="宋体"/>
          <w:sz w:val="22"/>
          <w:lang w:val="en-US" w:eastAsia="zh-CN"/>
        </w:rPr>
        <w:t>Candidate options</w:t>
      </w:r>
    </w:p>
    <w:p>
      <w:pPr>
        <w:keepNext w:val="0"/>
        <w:keepLines w:val="0"/>
        <w:pageBreakBefore w:val="0"/>
        <w:widowControl/>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0" w:line="260" w:lineRule="auto"/>
        <w:textAlignment w:val="auto"/>
        <w:rPr>
          <w:rFonts w:hint="default" w:eastAsia="宋体"/>
          <w:b/>
          <w:bCs/>
          <w:sz w:val="22"/>
          <w:lang w:val="en-US" w:eastAsia="zh-CN"/>
        </w:rPr>
      </w:pPr>
      <w:r>
        <w:rPr>
          <w:rFonts w:hint="eastAsia" w:eastAsia="宋体"/>
          <w:b/>
          <w:bCs/>
          <w:sz w:val="22"/>
          <w:lang w:val="en-US" w:eastAsia="zh-CN"/>
        </w:rPr>
        <w:t>Option 1: MRTD shall not be larger than “CP length - UE Rx beam switch time - 2 x DL timing error” and the max SCS is 120kHz</w:t>
      </w:r>
    </w:p>
    <w:p>
      <w:pPr>
        <w:keepNext w:val="0"/>
        <w:keepLines w:val="0"/>
        <w:pageBreakBefore w:val="0"/>
        <w:widowControl/>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0" w:line="260" w:lineRule="auto"/>
        <w:textAlignment w:val="auto"/>
        <w:rPr>
          <w:rFonts w:hint="eastAsia" w:eastAsia="宋体"/>
          <w:b/>
          <w:bCs/>
          <w:sz w:val="22"/>
          <w:lang w:val="en-US" w:eastAsia="zh-CN"/>
        </w:rPr>
      </w:pPr>
      <w:r>
        <w:rPr>
          <w:rFonts w:hint="eastAsia" w:eastAsia="宋体"/>
          <w:b/>
          <w:bCs/>
          <w:sz w:val="22"/>
          <w:lang w:val="en-US" w:eastAsia="zh-CN"/>
        </w:rPr>
        <w:t>Option 2: MRTD of 3us for inter-band CA in FR2 under CBM with a note to stating if the MRTD exceed [TBD us or CP or CP/2] a performance degradation is expected for the first N symbols of the slot</w:t>
      </w:r>
    </w:p>
    <w:p>
      <w:pPr>
        <w:keepNext w:val="0"/>
        <w:keepLines w:val="0"/>
        <w:pageBreakBefore w:val="0"/>
        <w:widowControl/>
        <w:numPr>
          <w:ilvl w:val="0"/>
          <w:numId w:val="8"/>
        </w:numPr>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0" w:line="260" w:lineRule="auto"/>
        <w:ind w:left="420" w:leftChars="0" w:hanging="420" w:firstLineChars="0"/>
        <w:textAlignment w:val="auto"/>
        <w:rPr>
          <w:rFonts w:hint="eastAsia" w:eastAsia="宋体"/>
          <w:sz w:val="22"/>
          <w:lang w:val="en-US" w:eastAsia="zh-CN"/>
        </w:rPr>
      </w:pPr>
      <w:r>
        <w:rPr>
          <w:rFonts w:hint="eastAsia" w:eastAsia="宋体"/>
          <w:sz w:val="22"/>
          <w:lang w:val="en-US" w:eastAsia="zh-CN"/>
        </w:rPr>
        <w:t>N is FFS</w:t>
      </w:r>
    </w:p>
    <w:p>
      <w:pPr>
        <w:keepNext w:val="0"/>
        <w:keepLines w:val="0"/>
        <w:pageBreakBefore w:val="0"/>
        <w:widowControl/>
        <w:numPr>
          <w:ilvl w:val="0"/>
          <w:numId w:val="8"/>
        </w:numPr>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0" w:line="260" w:lineRule="auto"/>
        <w:ind w:left="420" w:leftChars="0" w:hanging="420" w:firstLineChars="0"/>
        <w:textAlignment w:val="auto"/>
        <w:rPr>
          <w:rFonts w:hint="eastAsia" w:eastAsia="宋体"/>
          <w:sz w:val="22"/>
          <w:lang w:val="en-US" w:eastAsia="zh-CN"/>
        </w:rPr>
      </w:pPr>
      <w:r>
        <w:rPr>
          <w:rFonts w:hint="eastAsia" w:eastAsia="宋体"/>
          <w:sz w:val="22"/>
          <w:lang w:val="en-US" w:eastAsia="zh-CN"/>
        </w:rPr>
        <w:t>FFS if degradation applies to each slot</w:t>
      </w:r>
    </w:p>
    <w:p>
      <w:pPr>
        <w:keepNext w:val="0"/>
        <w:keepLines w:val="0"/>
        <w:pageBreakBefore w:val="0"/>
        <w:widowControl/>
        <w:numPr>
          <w:ilvl w:val="0"/>
          <w:numId w:val="8"/>
        </w:numPr>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0" w:line="260" w:lineRule="auto"/>
        <w:ind w:left="420" w:leftChars="0" w:hanging="420" w:firstLineChars="0"/>
        <w:textAlignment w:val="auto"/>
        <w:rPr>
          <w:rFonts w:hint="eastAsia" w:eastAsia="宋体"/>
          <w:sz w:val="22"/>
          <w:lang w:val="en-US" w:eastAsia="zh-CN"/>
        </w:rPr>
      </w:pPr>
      <w:r>
        <w:rPr>
          <w:rFonts w:hint="eastAsia" w:eastAsia="宋体"/>
          <w:sz w:val="22"/>
          <w:lang w:val="en-US" w:eastAsia="zh-CN"/>
        </w:rPr>
        <w:t>Example requirement:</w:t>
      </w:r>
    </w:p>
    <w:p>
      <w:pPr>
        <w:keepNext w:val="0"/>
        <w:keepLines w:val="0"/>
        <w:pageBreakBefore w:val="0"/>
        <w:widowControl/>
        <w:numPr>
          <w:ilvl w:val="0"/>
          <w:numId w:val="0"/>
        </w:numPr>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0" w:line="260" w:lineRule="auto"/>
        <w:ind w:leftChars="0"/>
        <w:textAlignment w:val="auto"/>
        <w:rPr>
          <w:rFonts w:hint="eastAsia" w:eastAsia="宋体"/>
          <w:sz w:val="22"/>
          <w:lang w:val="en-US" w:eastAsia="zh-CN"/>
        </w:rPr>
      </w:pPr>
      <w:r>
        <w:drawing>
          <wp:inline distT="0" distB="0" distL="114300" distR="114300">
            <wp:extent cx="6107430" cy="1091565"/>
            <wp:effectExtent l="0" t="0" r="381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107430" cy="1091565"/>
                    </a:xfrm>
                    <a:prstGeom prst="rect">
                      <a:avLst/>
                    </a:prstGeom>
                    <a:noFill/>
                    <a:ln>
                      <a:noFill/>
                    </a:ln>
                  </pic:spPr>
                </pic:pic>
              </a:graphicData>
            </a:graphic>
          </wp:inline>
        </w:drawing>
      </w:r>
    </w:p>
    <w:p>
      <w:pPr>
        <w:keepNext w:val="0"/>
        <w:keepLines w:val="0"/>
        <w:pageBreakBefore w:val="0"/>
        <w:widowControl/>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0" w:line="260" w:lineRule="auto"/>
        <w:textAlignment w:val="auto"/>
        <w:rPr>
          <w:rFonts w:hint="eastAsia" w:eastAsia="宋体"/>
          <w:sz w:val="22"/>
          <w:lang w:val="en-US" w:eastAsia="zh-CN"/>
        </w:rPr>
      </w:pPr>
      <w:r>
        <w:rPr>
          <w:rFonts w:hint="eastAsia" w:eastAsia="宋体"/>
          <w:b/>
          <w:bCs/>
          <w:sz w:val="22"/>
          <w:lang w:val="en-US" w:eastAsia="zh-CN"/>
        </w:rPr>
        <w:t xml:space="preserve">Option 3: Introduce UE capability to support                                                                                                                   </w:t>
      </w:r>
      <w:r>
        <w:rPr>
          <w:rFonts w:hint="eastAsia" w:eastAsia="宋体"/>
          <w:sz w:val="22"/>
          <w:lang w:val="en-US" w:eastAsia="zh-CN"/>
        </w:rPr>
        <w:t>MRTD = [260ns] and/or MRTD = [3us]</w:t>
      </w:r>
    </w:p>
    <w:p>
      <w:pPr>
        <w:keepNext w:val="0"/>
        <w:keepLines w:val="0"/>
        <w:pageBreakBefore w:val="0"/>
        <w:widowControl/>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0" w:line="260" w:lineRule="auto"/>
        <w:textAlignment w:val="auto"/>
        <w:rPr>
          <w:rFonts w:hint="eastAsia" w:eastAsia="宋体"/>
          <w:sz w:val="22"/>
          <w:lang w:val="en-US" w:eastAsia="zh-CN"/>
        </w:rPr>
      </w:pPr>
    </w:p>
    <w:p>
      <w:pPr>
        <w:keepNext w:val="0"/>
        <w:keepLines w:val="0"/>
        <w:pageBreakBefore w:val="0"/>
        <w:widowControl/>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0" w:line="260" w:lineRule="auto"/>
        <w:textAlignment w:val="auto"/>
        <w:rPr>
          <w:rFonts w:hint="eastAsia" w:eastAsia="宋体"/>
          <w:b/>
          <w:bCs/>
          <w:sz w:val="22"/>
          <w:lang w:val="en-US" w:eastAsia="zh-CN"/>
        </w:rPr>
      </w:pPr>
      <w:r>
        <w:rPr>
          <w:rFonts w:hint="eastAsia" w:eastAsia="宋体"/>
          <w:b/>
          <w:bCs/>
          <w:sz w:val="22"/>
          <w:lang w:val="en-US" w:eastAsia="zh-CN"/>
        </w:rPr>
        <w:t xml:space="preserve">Further study the candidate options and investigate at least the following open issues </w:t>
      </w:r>
    </w:p>
    <w:p>
      <w:pPr>
        <w:keepNext w:val="0"/>
        <w:keepLines w:val="0"/>
        <w:pageBreakBefore w:val="0"/>
        <w:widowControl/>
        <w:numPr>
          <w:ilvl w:val="0"/>
          <w:numId w:val="8"/>
        </w:numPr>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0" w:line="260" w:lineRule="auto"/>
        <w:ind w:left="420" w:leftChars="0" w:hanging="420" w:firstLineChars="0"/>
        <w:textAlignment w:val="auto"/>
        <w:rPr>
          <w:rFonts w:hint="eastAsia" w:eastAsia="宋体"/>
          <w:sz w:val="22"/>
          <w:lang w:val="en-US" w:eastAsia="zh-CN"/>
        </w:rPr>
      </w:pPr>
      <w:r>
        <w:rPr>
          <w:rFonts w:hint="eastAsia" w:eastAsia="宋体"/>
          <w:sz w:val="22"/>
          <w:lang w:val="en-US" w:eastAsia="zh-CN"/>
        </w:rPr>
        <w:t>Impact of UE RX beam switching and AGC periodicity restrictions on the performance</w:t>
      </w:r>
    </w:p>
    <w:p>
      <w:pPr>
        <w:keepNext w:val="0"/>
        <w:keepLines w:val="0"/>
        <w:pageBreakBefore w:val="0"/>
        <w:widowControl/>
        <w:numPr>
          <w:ilvl w:val="0"/>
          <w:numId w:val="8"/>
        </w:numPr>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snapToGrid/>
        <w:spacing w:after="0" w:line="260" w:lineRule="auto"/>
        <w:ind w:left="420" w:leftChars="0" w:hanging="420" w:firstLineChars="0"/>
        <w:textAlignment w:val="auto"/>
        <w:rPr>
          <w:rFonts w:hint="eastAsia" w:eastAsia="宋体"/>
          <w:sz w:val="22"/>
          <w:lang w:val="en-US" w:eastAsia="zh-CN"/>
        </w:rPr>
      </w:pPr>
      <w:r>
        <w:rPr>
          <w:rFonts w:hint="eastAsia" w:eastAsia="宋体"/>
          <w:sz w:val="22"/>
          <w:lang w:val="en-US" w:eastAsia="zh-CN"/>
        </w:rPr>
        <w:t>Candidate RRM requirements and performance impacts for the case of MRTD larger than “CP length - UE Rx beam switch time - 2 x DL timing error”and below 3us</w:t>
      </w: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eastAsia" w:eastAsia="宋体"/>
          <w:sz w:val="22"/>
          <w:lang w:val="en-US" w:eastAsia="zh-CN"/>
        </w:rPr>
      </w:pP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eastAsia" w:eastAsia="宋体"/>
          <w:sz w:val="22"/>
          <w:lang w:val="en-US" w:eastAsia="zh-CN"/>
        </w:rPr>
      </w:pP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eastAsia="宋体"/>
          <w:sz w:val="22"/>
          <w:lang w:val="en-US" w:eastAsia="zh-CN"/>
        </w:rPr>
      </w:pPr>
      <w:r>
        <w:rPr>
          <w:rFonts w:hint="eastAsia" w:eastAsia="宋体"/>
          <w:sz w:val="22"/>
          <w:lang w:val="en-US" w:eastAsia="zh-CN"/>
        </w:rPr>
        <w:t xml:space="preserve">UE Rx beam switch is supposed to be performed within CP length. For SCS 60kHz and 120kHz in FR2, the length of CP are </w:t>
      </w:r>
      <w:r>
        <w:rPr>
          <w:rFonts w:hint="eastAsia" w:eastAsia="宋体"/>
          <w:sz w:val="22"/>
          <w:lang w:val="en-US" w:eastAsia="ja-JP"/>
        </w:rPr>
        <w:t>1.17 µs</w:t>
      </w:r>
      <w:r>
        <w:rPr>
          <w:rFonts w:hint="eastAsia" w:eastAsia="宋体"/>
          <w:sz w:val="22"/>
          <w:lang w:val="en-US" w:eastAsia="zh-CN"/>
        </w:rPr>
        <w:t xml:space="preserve"> and </w:t>
      </w:r>
      <w:r>
        <w:rPr>
          <w:rFonts w:hint="eastAsia" w:eastAsia="宋体"/>
          <w:sz w:val="22"/>
          <w:lang w:val="en-US" w:eastAsia="ja-JP"/>
        </w:rPr>
        <w:t>586 ns</w:t>
      </w:r>
      <w:r>
        <w:rPr>
          <w:rFonts w:hint="eastAsia" w:eastAsia="宋体"/>
          <w:sz w:val="22"/>
          <w:lang w:val="en-US" w:eastAsia="zh-CN"/>
        </w:rPr>
        <w:t xml:space="preserve"> </w:t>
      </w:r>
      <w:r>
        <w:rPr>
          <w:rFonts w:hint="eastAsia" w:eastAsia="宋体"/>
          <w:sz w:val="22"/>
          <w:lang w:val="en-US" w:eastAsia="ja-JP"/>
        </w:rPr>
        <w:t>respectively</w:t>
      </w:r>
      <w:r>
        <w:rPr>
          <w:rFonts w:hint="eastAsia" w:eastAsia="宋体"/>
          <w:sz w:val="22"/>
          <w:lang w:val="en-US" w:eastAsia="zh-CN"/>
        </w:rPr>
        <w:t xml:space="preserve">[3]. For </w:t>
      </w:r>
      <w:r>
        <w:rPr>
          <w:rFonts w:hint="eastAsia" w:eastAsia="宋体"/>
          <w:sz w:val="22"/>
          <w:lang w:val="en-US" w:eastAsia="ja-JP"/>
        </w:rPr>
        <w:t>52.6</w:t>
      </w:r>
      <w:r>
        <w:rPr>
          <w:rFonts w:hint="eastAsia" w:eastAsia="宋体"/>
          <w:sz w:val="22"/>
          <w:lang w:val="en-US" w:eastAsia="zh-CN"/>
        </w:rPr>
        <w:t xml:space="preserve"> - </w:t>
      </w:r>
      <w:r>
        <w:rPr>
          <w:rFonts w:hint="eastAsia" w:eastAsia="宋体"/>
          <w:sz w:val="22"/>
          <w:lang w:val="en-US" w:eastAsia="ja-JP"/>
        </w:rPr>
        <w:t>71 GHz</w:t>
      </w:r>
      <w:r>
        <w:rPr>
          <w:rFonts w:hint="eastAsia" w:eastAsia="宋体"/>
          <w:sz w:val="22"/>
          <w:lang w:val="en-US" w:eastAsia="zh-CN"/>
        </w:rPr>
        <w:t xml:space="preserve">, when SCS 480kHz and 960kHz are supported, the length of CP are 146ns and 73ns </w:t>
      </w:r>
      <w:r>
        <w:rPr>
          <w:rFonts w:hint="eastAsia" w:eastAsia="宋体"/>
          <w:sz w:val="22"/>
          <w:lang w:val="en-US" w:eastAsia="ja-JP"/>
        </w:rPr>
        <w:t>respectively</w:t>
      </w:r>
      <w:r>
        <w:rPr>
          <w:rFonts w:hint="eastAsia" w:eastAsia="宋体"/>
          <w:sz w:val="22"/>
          <w:lang w:val="en-US" w:eastAsia="zh-CN"/>
        </w:rPr>
        <w:t xml:space="preserve">. However, according to the LS sent from RAN4 to RAN1 in Table 1[4], UE Beam switch time is still under study and may need further simulation to vertify the performance. </w:t>
      </w:r>
    </w:p>
    <w:p>
      <w:pPr>
        <w:pStyle w:val="64"/>
        <w:rPr>
          <w:lang w:val="en-US"/>
        </w:rPr>
      </w:pPr>
      <w:r>
        <w:rPr>
          <w:lang w:val="en-US"/>
        </w:rPr>
        <w:t>Table 1 Summary of 60 GHz time-related issues and agreements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8"/>
        <w:gridCol w:w="7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8" w:type="dxa"/>
            <w:shd w:val="clear" w:color="auto" w:fill="auto"/>
            <w:noWrap w:val="0"/>
            <w:vAlign w:val="top"/>
          </w:tcPr>
          <w:p>
            <w:pPr>
              <w:pStyle w:val="69"/>
              <w:rPr>
                <w:sz w:val="22"/>
                <w:szCs w:val="22"/>
              </w:rPr>
            </w:pPr>
            <w:r>
              <w:rPr>
                <w:sz w:val="22"/>
                <w:szCs w:val="22"/>
              </w:rPr>
              <w:t>Issue</w:t>
            </w:r>
          </w:p>
        </w:tc>
        <w:tc>
          <w:tcPr>
            <w:tcW w:w="7187" w:type="dxa"/>
            <w:shd w:val="clear" w:color="auto" w:fill="auto"/>
            <w:noWrap w:val="0"/>
            <w:vAlign w:val="top"/>
          </w:tcPr>
          <w:p>
            <w:pPr>
              <w:pStyle w:val="69"/>
              <w:rPr>
                <w:sz w:val="22"/>
                <w:szCs w:val="22"/>
              </w:rPr>
            </w:pPr>
            <w:r>
              <w:rPr>
                <w:sz w:val="22"/>
                <w:szCs w:val="22"/>
              </w:rPr>
              <w:t>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8" w:type="dxa"/>
            <w:shd w:val="clear" w:color="auto" w:fill="auto"/>
            <w:noWrap w:val="0"/>
            <w:vAlign w:val="top"/>
          </w:tcPr>
          <w:p>
            <w:pPr>
              <w:pStyle w:val="49"/>
              <w:rPr>
                <w:rFonts w:hint="default" w:ascii="Times New Roman" w:hAnsi="Times New Roman" w:cs="Times New Roman"/>
                <w:sz w:val="22"/>
                <w:szCs w:val="22"/>
              </w:rPr>
            </w:pPr>
            <w:r>
              <w:rPr>
                <w:rFonts w:hint="default" w:ascii="Times New Roman" w:hAnsi="Times New Roman" w:cs="Times New Roman"/>
                <w:sz w:val="22"/>
                <w:szCs w:val="22"/>
              </w:rPr>
              <w:t>RX-TX and TX-RX beam switching</w:t>
            </w:r>
          </w:p>
        </w:tc>
        <w:tc>
          <w:tcPr>
            <w:tcW w:w="7187" w:type="dxa"/>
            <w:shd w:val="clear" w:color="auto" w:fill="auto"/>
            <w:noWrap w:val="0"/>
            <w:vAlign w:val="top"/>
          </w:tcPr>
          <w:p>
            <w:pPr>
              <w:pStyle w:val="67"/>
              <w:jc w:val="left"/>
              <w:rPr>
                <w:sz w:val="22"/>
                <w:szCs w:val="22"/>
              </w:rPr>
            </w:pPr>
            <w:r>
              <w:rPr>
                <w:sz w:val="22"/>
                <w:szCs w:val="22"/>
              </w:rPr>
              <w:t>-</w:t>
            </w:r>
            <w:r>
              <w:rPr>
                <w:sz w:val="22"/>
                <w:szCs w:val="22"/>
              </w:rPr>
              <w:tab/>
            </w:r>
            <w:r>
              <w:rPr>
                <w:sz w:val="22"/>
                <w:szCs w:val="22"/>
              </w:rPr>
              <w:t>For NR operation in the 52.6 – 71 GHz range, the Rx-Tx and Tx-Rx transition time shall reuse the FR2 value of 13792 Tc. (7.015 usec) for 120 kHz SCS</w:t>
            </w:r>
          </w:p>
          <w:p>
            <w:pPr>
              <w:pStyle w:val="67"/>
              <w:jc w:val="left"/>
              <w:rPr>
                <w:sz w:val="22"/>
                <w:szCs w:val="22"/>
              </w:rPr>
            </w:pPr>
            <w:r>
              <w:rPr>
                <w:sz w:val="22"/>
                <w:szCs w:val="22"/>
              </w:rPr>
              <w:t>-</w:t>
            </w:r>
            <w:r>
              <w:rPr>
                <w:sz w:val="22"/>
                <w:szCs w:val="22"/>
              </w:rPr>
              <w:tab/>
            </w:r>
            <w:r>
              <w:rPr>
                <w:sz w:val="22"/>
                <w:szCs w:val="22"/>
              </w:rPr>
              <w:t>FFS for Rx-Tx and Tx-Rx transition time for 480/960 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8" w:type="dxa"/>
            <w:shd w:val="clear" w:color="auto" w:fill="auto"/>
            <w:noWrap w:val="0"/>
            <w:vAlign w:val="top"/>
          </w:tcPr>
          <w:p>
            <w:pPr>
              <w:pStyle w:val="49"/>
              <w:rPr>
                <w:rFonts w:hint="default" w:ascii="Times New Roman" w:hAnsi="Times New Roman" w:cs="Times New Roman"/>
                <w:sz w:val="22"/>
                <w:szCs w:val="22"/>
              </w:rPr>
            </w:pPr>
            <w:r>
              <w:rPr>
                <w:rFonts w:hint="default" w:ascii="Times New Roman" w:hAnsi="Times New Roman" w:cs="Times New Roman"/>
                <w:sz w:val="22"/>
                <w:szCs w:val="22"/>
              </w:rPr>
              <w:t>Minimum duration between beam switches</w:t>
            </w:r>
          </w:p>
        </w:tc>
        <w:tc>
          <w:tcPr>
            <w:tcW w:w="7187" w:type="dxa"/>
            <w:shd w:val="clear" w:color="auto" w:fill="auto"/>
            <w:noWrap w:val="0"/>
            <w:vAlign w:val="top"/>
          </w:tcPr>
          <w:p>
            <w:pPr>
              <w:pStyle w:val="67"/>
              <w:jc w:val="left"/>
              <w:rPr>
                <w:sz w:val="22"/>
                <w:szCs w:val="22"/>
              </w:rPr>
            </w:pPr>
            <w:r>
              <w:rPr>
                <w:sz w:val="22"/>
                <w:szCs w:val="22"/>
              </w:rPr>
              <w:t>-</w:t>
            </w:r>
            <w:r>
              <w:rPr>
                <w:sz w:val="22"/>
                <w:szCs w:val="22"/>
              </w:rPr>
              <w:tab/>
            </w:r>
            <w:r>
              <w:rPr>
                <w:sz w:val="22"/>
                <w:szCs w:val="22"/>
              </w:rPr>
              <w:t>RAN4 will further discuss the definition of beam switch scenario(s) related to this proposed requirement and whether a requirement on the minimum duration between beam switches is needed</w:t>
            </w:r>
          </w:p>
          <w:p>
            <w:pPr>
              <w:pStyle w:val="67"/>
              <w:jc w:val="left"/>
              <w:rPr>
                <w:sz w:val="22"/>
                <w:szCs w:val="22"/>
              </w:rPr>
            </w:pPr>
            <w:r>
              <w:rPr>
                <w:sz w:val="22"/>
                <w:szCs w:val="22"/>
              </w:rPr>
              <w:t>-</w:t>
            </w:r>
            <w:r>
              <w:rPr>
                <w:sz w:val="22"/>
                <w:szCs w:val="22"/>
              </w:rPr>
              <w:tab/>
            </w:r>
            <w:r>
              <w:rPr>
                <w:sz w:val="22"/>
                <w:szCs w:val="22"/>
              </w:rPr>
              <w:t>If the requirement is needed, then RAN4 will further discuss how to decide the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8" w:type="dxa"/>
            <w:shd w:val="clear" w:color="auto" w:fill="auto"/>
            <w:noWrap w:val="0"/>
            <w:vAlign w:val="top"/>
          </w:tcPr>
          <w:p>
            <w:pPr>
              <w:pStyle w:val="49"/>
              <w:rPr>
                <w:rFonts w:hint="default" w:ascii="Times New Roman" w:hAnsi="Times New Roman" w:cs="Times New Roman"/>
                <w:sz w:val="22"/>
                <w:szCs w:val="22"/>
                <w:highlight w:val="yellow"/>
              </w:rPr>
            </w:pPr>
            <w:r>
              <w:rPr>
                <w:rFonts w:hint="default" w:ascii="Times New Roman" w:hAnsi="Times New Roman" w:cs="Times New Roman"/>
                <w:sz w:val="22"/>
                <w:szCs w:val="22"/>
                <w:highlight w:val="yellow"/>
              </w:rPr>
              <w:t>UE Beam switch time (beam direction switch only)</w:t>
            </w:r>
          </w:p>
        </w:tc>
        <w:tc>
          <w:tcPr>
            <w:tcW w:w="7187" w:type="dxa"/>
            <w:shd w:val="clear" w:color="auto" w:fill="auto"/>
            <w:noWrap w:val="0"/>
            <w:vAlign w:val="top"/>
          </w:tcPr>
          <w:p>
            <w:pPr>
              <w:pStyle w:val="67"/>
              <w:jc w:val="left"/>
              <w:rPr>
                <w:sz w:val="22"/>
                <w:szCs w:val="22"/>
              </w:rPr>
            </w:pPr>
            <w:r>
              <w:rPr>
                <w:sz w:val="22"/>
                <w:szCs w:val="22"/>
              </w:rPr>
              <w:t>-</w:t>
            </w:r>
            <w:r>
              <w:rPr>
                <w:sz w:val="22"/>
                <w:szCs w:val="22"/>
              </w:rPr>
              <w:tab/>
            </w:r>
            <w:r>
              <w:rPr>
                <w:sz w:val="22"/>
                <w:szCs w:val="22"/>
              </w:rPr>
              <w:t>RAN4 will further discuss based on the following alternatives: (1) simulation study to quantify impact of beam switch time on network performance, (2) further discussion of UE feasibility, (3) analysis of the system impact (by some other means than sim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8" w:type="dxa"/>
            <w:shd w:val="clear" w:color="auto" w:fill="auto"/>
            <w:noWrap w:val="0"/>
            <w:vAlign w:val="top"/>
          </w:tcPr>
          <w:p>
            <w:pPr>
              <w:pStyle w:val="49"/>
              <w:rPr>
                <w:rFonts w:hint="default" w:ascii="Times New Roman" w:hAnsi="Times New Roman" w:cs="Times New Roman"/>
                <w:sz w:val="22"/>
                <w:szCs w:val="22"/>
                <w:highlight w:val="yellow"/>
              </w:rPr>
            </w:pPr>
            <w:r>
              <w:rPr>
                <w:rFonts w:hint="default" w:ascii="Times New Roman" w:hAnsi="Times New Roman" w:cs="Times New Roman"/>
                <w:sz w:val="22"/>
                <w:szCs w:val="22"/>
                <w:highlight w:val="yellow"/>
              </w:rPr>
              <w:t>UE Inter-panel Beam switch time (beam direction switch only)</w:t>
            </w:r>
          </w:p>
        </w:tc>
        <w:tc>
          <w:tcPr>
            <w:tcW w:w="7187" w:type="dxa"/>
            <w:shd w:val="clear" w:color="auto" w:fill="auto"/>
            <w:noWrap w:val="0"/>
            <w:vAlign w:val="top"/>
          </w:tcPr>
          <w:p>
            <w:pPr>
              <w:pStyle w:val="67"/>
              <w:jc w:val="left"/>
              <w:rPr>
                <w:sz w:val="22"/>
                <w:szCs w:val="22"/>
              </w:rPr>
            </w:pPr>
            <w:r>
              <w:rPr>
                <w:sz w:val="22"/>
                <w:szCs w:val="22"/>
              </w:rPr>
              <w:t>-</w:t>
            </w:r>
            <w:r>
              <w:rPr>
                <w:sz w:val="22"/>
                <w:szCs w:val="22"/>
              </w:rPr>
              <w:tab/>
            </w:r>
            <w:r>
              <w:rPr>
                <w:sz w:val="22"/>
                <w:szCs w:val="22"/>
              </w:rPr>
              <w:t>Depends on conclusion of the intra-panel beam switch time and analysis of delays in addition to intra-panel, if any, associated with inter-panel beam switch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8" w:type="dxa"/>
            <w:shd w:val="clear" w:color="auto" w:fill="auto"/>
            <w:noWrap w:val="0"/>
            <w:vAlign w:val="top"/>
          </w:tcPr>
          <w:p>
            <w:pPr>
              <w:pStyle w:val="49"/>
              <w:rPr>
                <w:rFonts w:hint="default" w:ascii="Times New Roman" w:hAnsi="Times New Roman" w:cs="Times New Roman"/>
                <w:sz w:val="22"/>
                <w:szCs w:val="22"/>
              </w:rPr>
            </w:pPr>
            <w:r>
              <w:rPr>
                <w:rFonts w:hint="default" w:ascii="Times New Roman" w:hAnsi="Times New Roman" w:cs="Times New Roman"/>
                <w:sz w:val="22"/>
                <w:szCs w:val="22"/>
              </w:rPr>
              <w:t>gNB Beam switch time (beam direction switch only)</w:t>
            </w:r>
          </w:p>
        </w:tc>
        <w:tc>
          <w:tcPr>
            <w:tcW w:w="7187" w:type="dxa"/>
            <w:shd w:val="clear" w:color="auto" w:fill="auto"/>
            <w:noWrap w:val="0"/>
            <w:vAlign w:val="top"/>
          </w:tcPr>
          <w:p>
            <w:pPr>
              <w:pStyle w:val="67"/>
              <w:jc w:val="left"/>
              <w:rPr>
                <w:sz w:val="22"/>
                <w:szCs w:val="22"/>
              </w:rPr>
            </w:pPr>
            <w:r>
              <w:rPr>
                <w:sz w:val="22"/>
                <w:szCs w:val="22"/>
              </w:rPr>
              <w:t>-</w:t>
            </w:r>
            <w:r>
              <w:rPr>
                <w:sz w:val="22"/>
                <w:szCs w:val="22"/>
              </w:rPr>
              <w:tab/>
            </w:r>
            <w:r>
              <w:rPr>
                <w:sz w:val="22"/>
                <w:szCs w:val="22"/>
              </w:rPr>
              <w:t>RAN4 tentatively agrees [59 ns] with the understanding that the value can be confirmed once open issues related to BS output power are resolved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8" w:type="dxa"/>
            <w:shd w:val="clear" w:color="auto" w:fill="auto"/>
            <w:noWrap w:val="0"/>
            <w:vAlign w:val="top"/>
          </w:tcPr>
          <w:p>
            <w:pPr>
              <w:pStyle w:val="49"/>
              <w:rPr>
                <w:rFonts w:hint="default" w:ascii="Times New Roman" w:hAnsi="Times New Roman" w:cs="Times New Roman"/>
                <w:sz w:val="22"/>
                <w:szCs w:val="22"/>
              </w:rPr>
            </w:pPr>
            <w:r>
              <w:rPr>
                <w:rFonts w:hint="default" w:ascii="Times New Roman" w:hAnsi="Times New Roman" w:cs="Times New Roman"/>
                <w:sz w:val="22"/>
                <w:szCs w:val="22"/>
              </w:rPr>
              <w:t>TX ON-ON and TX ON-OFF transient period</w:t>
            </w:r>
          </w:p>
        </w:tc>
        <w:tc>
          <w:tcPr>
            <w:tcW w:w="7187" w:type="dxa"/>
            <w:shd w:val="clear" w:color="auto" w:fill="auto"/>
            <w:noWrap w:val="0"/>
            <w:vAlign w:val="top"/>
          </w:tcPr>
          <w:p>
            <w:pPr>
              <w:pStyle w:val="67"/>
              <w:jc w:val="left"/>
              <w:rPr>
                <w:rFonts w:cs="Arial"/>
                <w:sz w:val="22"/>
                <w:szCs w:val="22"/>
              </w:rPr>
            </w:pPr>
            <w:r>
              <w:rPr>
                <w:rFonts w:cs="Arial"/>
                <w:sz w:val="22"/>
                <w:szCs w:val="22"/>
              </w:rPr>
              <w:t>-</w:t>
            </w:r>
            <w:r>
              <w:rPr>
                <w:rFonts w:cs="Arial"/>
                <w:sz w:val="22"/>
                <w:szCs w:val="22"/>
              </w:rPr>
              <w:tab/>
            </w:r>
            <w:r>
              <w:rPr>
                <w:rFonts w:cs="Arial"/>
                <w:sz w:val="22"/>
                <w:szCs w:val="22"/>
              </w:rPr>
              <w:t>Re-use UE transient time from current FR2 for 120 kHz SCS</w:t>
            </w:r>
          </w:p>
          <w:p>
            <w:pPr>
              <w:pStyle w:val="67"/>
              <w:jc w:val="left"/>
              <w:rPr>
                <w:sz w:val="22"/>
                <w:szCs w:val="22"/>
              </w:rPr>
            </w:pPr>
            <w:r>
              <w:rPr>
                <w:rFonts w:cs="Arial"/>
                <w:sz w:val="22"/>
                <w:szCs w:val="22"/>
              </w:rPr>
              <w:t>-</w:t>
            </w:r>
            <w:r>
              <w:rPr>
                <w:rFonts w:cs="Arial"/>
                <w:sz w:val="22"/>
                <w:szCs w:val="22"/>
              </w:rPr>
              <w:tab/>
            </w:r>
            <w:r>
              <w:rPr>
                <w:rFonts w:cs="Arial"/>
                <w:sz w:val="22"/>
                <w:szCs w:val="22"/>
              </w:rPr>
              <w:t>FFS on UE transient time for 480/960 kHz SCS</w:t>
            </w:r>
          </w:p>
        </w:tc>
      </w:tr>
    </w:tbl>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eastAsia="宋体"/>
          <w:sz w:val="22"/>
          <w:lang w:val="en-US" w:eastAsia="zh-CN"/>
        </w:rPr>
      </w:pP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eastAsia" w:eastAsia="宋体"/>
          <w:sz w:val="22"/>
          <w:lang w:val="en-US" w:eastAsia="zh-CN"/>
        </w:rPr>
      </w:pP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eastAsia="宋体"/>
          <w:sz w:val="22"/>
          <w:lang w:val="en-US" w:eastAsia="zh-CN"/>
        </w:rPr>
      </w:pPr>
      <w:r>
        <w:rPr>
          <w:rFonts w:hint="eastAsia" w:eastAsia="宋体"/>
          <w:sz w:val="22"/>
          <w:lang w:val="en-US" w:eastAsia="zh-CN"/>
        </w:rPr>
        <w:t>We support to define MRTD of 3µs for inter-band CA in FR2 under CBM with a note indicating the number of OFDM symbols to be affected . The detailed number of OFDM symbols should be evaluated based on the time of UE Rx Beam switch, which depends on the outcome of RF session.</w:t>
      </w: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eastAsia" w:eastAsia="宋体"/>
          <w:b/>
          <w:bCs/>
          <w:sz w:val="22"/>
          <w:lang w:val="en-US" w:eastAsia="zh-CN"/>
        </w:rPr>
      </w:pP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eastAsia="宋体"/>
          <w:b/>
          <w:bCs/>
          <w:sz w:val="22"/>
          <w:lang w:val="en-US" w:eastAsia="zh-CN"/>
        </w:rPr>
      </w:pPr>
      <w:r>
        <w:rPr>
          <w:rFonts w:hint="eastAsia" w:eastAsia="宋体"/>
          <w:b/>
          <w:bCs/>
          <w:sz w:val="22"/>
          <w:lang w:val="en-US" w:eastAsia="zh-CN"/>
        </w:rPr>
        <w:t>Proposal 2: Support option 2: Define MRTD of 3µs for inter-band CA in FR2 under CBM with a note indicating the number of OFDM symbols to be affected.</w:t>
      </w: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eastAsia="宋体"/>
          <w:sz w:val="22"/>
          <w:lang w:val="en-US" w:eastAsia="zh-CN"/>
        </w:rPr>
      </w:pP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eastAsia="宋体"/>
          <w:sz w:val="22"/>
          <w:lang w:val="en-US" w:eastAsia="zh-CN"/>
        </w:rPr>
      </w:pPr>
    </w:p>
    <w:p>
      <w:pPr>
        <w:pStyle w:val="29"/>
        <w:numPr>
          <w:ilvl w:val="0"/>
          <w:numId w:val="7"/>
        </w:numPr>
        <w:ind w:left="1134" w:leftChars="0" w:hanging="1134" w:firstLineChars="0"/>
        <w:jc w:val="both"/>
      </w:pPr>
      <w:r>
        <w:t>Conclusion</w:t>
      </w:r>
    </w:p>
    <w:p>
      <w:pPr>
        <w:rPr>
          <w:rFonts w:hint="default" w:eastAsia="宋体"/>
          <w:b/>
          <w:bCs/>
          <w:sz w:val="22"/>
          <w:lang w:val="en-US" w:eastAsia="zh-CN"/>
        </w:rPr>
      </w:pPr>
      <w:r>
        <w:rPr>
          <w:rFonts w:hint="eastAsia" w:eastAsia="宋体"/>
          <w:b/>
          <w:bCs/>
          <w:sz w:val="22"/>
          <w:lang w:val="en-US" w:eastAsia="zh-CN"/>
        </w:rPr>
        <w:t>Proposal 1: Option 1 is used to derive MRTD for FR2 inter-band CA.</w:t>
      </w: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eastAsia="宋体"/>
          <w:b/>
          <w:bCs/>
          <w:sz w:val="22"/>
          <w:lang w:val="en-US" w:eastAsia="zh-CN"/>
        </w:rPr>
      </w:pPr>
      <w:r>
        <w:rPr>
          <w:rFonts w:hint="eastAsia" w:eastAsia="宋体"/>
          <w:b/>
          <w:bCs/>
          <w:sz w:val="22"/>
          <w:lang w:val="en-US" w:eastAsia="zh-CN"/>
        </w:rPr>
        <w:t>Proposal 2: Support option 2: Define MRTD of 3µs for inter-band CA in FR2 under CBM with a note indicating the number of OFDM symbols to be affected.</w:t>
      </w:r>
    </w:p>
    <w:p>
      <w:pPr>
        <w:rPr>
          <w:rFonts w:hint="eastAsia" w:eastAsia="宋体"/>
          <w:b/>
          <w:bCs/>
          <w:sz w:val="22"/>
          <w:lang w:val="en-US" w:eastAsia="zh-CN"/>
        </w:rPr>
      </w:pPr>
    </w:p>
    <w:p>
      <w:pPr>
        <w:pStyle w:val="29"/>
        <w:jc w:val="both"/>
      </w:pPr>
      <w:r>
        <w:t>References</w:t>
      </w:r>
    </w:p>
    <w:p>
      <w:pPr>
        <w:numPr>
          <w:ilvl w:val="0"/>
          <w:numId w:val="9"/>
        </w:numPr>
        <w:overflowPunct w:val="0"/>
        <w:autoSpaceDE w:val="0"/>
        <w:autoSpaceDN w:val="0"/>
        <w:adjustRightInd w:val="0"/>
        <w:spacing w:after="120" w:line="240" w:lineRule="auto"/>
        <w:jc w:val="both"/>
        <w:textAlignment w:val="baseline"/>
        <w:rPr>
          <w:rFonts w:eastAsia="宋体"/>
          <w:lang w:eastAsia="zh-CN"/>
        </w:rPr>
      </w:pPr>
      <w:r>
        <w:rPr>
          <w:rFonts w:hint="eastAsia" w:eastAsia="宋体"/>
          <w:lang w:eastAsia="zh-CN"/>
        </w:rPr>
        <w:t>R4-2108</w:t>
      </w:r>
      <w:r>
        <w:rPr>
          <w:rFonts w:hint="eastAsia" w:eastAsia="宋体"/>
          <w:lang w:val="en-US" w:eastAsia="zh-CN"/>
        </w:rPr>
        <w:t>037, WF on RRM requirements for FR2 Inter-band DL CA and UL CA, Nokia, Nokia Shanghai Bell</w:t>
      </w:r>
    </w:p>
    <w:p>
      <w:pPr>
        <w:numPr>
          <w:ilvl w:val="0"/>
          <w:numId w:val="9"/>
        </w:numPr>
        <w:overflowPunct w:val="0"/>
        <w:autoSpaceDE w:val="0"/>
        <w:autoSpaceDN w:val="0"/>
        <w:adjustRightInd w:val="0"/>
        <w:spacing w:after="120" w:line="240" w:lineRule="auto"/>
        <w:jc w:val="both"/>
        <w:textAlignment w:val="baseline"/>
        <w:rPr>
          <w:rFonts w:hint="default" w:eastAsia="宋体"/>
          <w:lang w:val="en-US" w:eastAsia="zh-CN"/>
        </w:rPr>
      </w:pPr>
      <w:r>
        <w:rPr>
          <w:rFonts w:hint="eastAsia" w:eastAsia="宋体"/>
          <w:lang w:val="en-GB" w:eastAsia="zh-CN"/>
        </w:rPr>
        <w:t>R4-</w:t>
      </w:r>
      <w:r>
        <w:rPr>
          <w:rFonts w:hint="eastAsia" w:eastAsia="宋体"/>
          <w:lang w:val="en-US" w:eastAsia="zh-CN"/>
        </w:rPr>
        <w:t>2109751</w:t>
      </w:r>
    </w:p>
    <w:p>
      <w:pPr>
        <w:numPr>
          <w:ilvl w:val="0"/>
          <w:numId w:val="9"/>
        </w:numPr>
        <w:overflowPunct w:val="0"/>
        <w:autoSpaceDE w:val="0"/>
        <w:autoSpaceDN w:val="0"/>
        <w:adjustRightInd w:val="0"/>
        <w:spacing w:after="120" w:line="240" w:lineRule="auto"/>
        <w:jc w:val="both"/>
        <w:textAlignment w:val="baseline"/>
        <w:rPr>
          <w:rFonts w:hint="default" w:eastAsia="宋体"/>
          <w:lang w:val="en-US" w:eastAsia="zh-CN"/>
        </w:rPr>
      </w:pPr>
      <w:r>
        <w:rPr>
          <w:rFonts w:hint="eastAsia" w:eastAsia="宋体"/>
          <w:lang w:val="en-US" w:eastAsia="zh-CN"/>
        </w:rPr>
        <w:t>TS 38.817-02,</w:t>
      </w:r>
      <w:r>
        <w:t>“General aspects for Base Station (BS) Radio Frequency (RF) for NR”, 3GPP</w:t>
      </w:r>
    </w:p>
    <w:p>
      <w:pPr>
        <w:numPr>
          <w:ilvl w:val="0"/>
          <w:numId w:val="9"/>
        </w:numPr>
        <w:overflowPunct w:val="0"/>
        <w:autoSpaceDE w:val="0"/>
        <w:autoSpaceDN w:val="0"/>
        <w:adjustRightInd w:val="0"/>
        <w:spacing w:after="120" w:line="240" w:lineRule="auto"/>
        <w:jc w:val="both"/>
        <w:textAlignment w:val="baseline"/>
        <w:rPr>
          <w:rFonts w:hint="default" w:eastAsia="宋体"/>
          <w:lang w:val="en-US" w:eastAsia="zh-CN"/>
        </w:rPr>
      </w:pPr>
      <w:r>
        <w:rPr>
          <w:rFonts w:hint="default" w:eastAsia="宋体"/>
          <w:lang w:val="en-US" w:eastAsia="zh-CN"/>
        </w:rPr>
        <w:t>R4-2107985</w:t>
      </w:r>
      <w:r>
        <w:rPr>
          <w:rFonts w:hint="eastAsia" w:eastAsia="宋体"/>
          <w:lang w:val="en-US" w:eastAsia="zh-CN"/>
        </w:rPr>
        <w:t>,</w:t>
      </w:r>
      <w:r>
        <w:rPr>
          <w:rFonts w:hint="default" w:eastAsia="宋体"/>
          <w:lang w:val="en-US" w:eastAsia="zh-CN"/>
        </w:rPr>
        <w:t xml:space="preserve"> LS 60 GHz timing</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EAE849"/>
    <w:multiLevelType w:val="singleLevel"/>
    <w:tmpl w:val="9CEAE849"/>
    <w:lvl w:ilvl="0" w:tentative="0">
      <w:start w:val="2"/>
      <w:numFmt w:val="decimal"/>
      <w:lvlText w:val="%1"/>
      <w:lvlJc w:val="left"/>
    </w:lvl>
  </w:abstractNum>
  <w:abstractNum w:abstractNumId="1">
    <w:nsid w:val="A7D255C3"/>
    <w:multiLevelType w:val="singleLevel"/>
    <w:tmpl w:val="A7D255C3"/>
    <w:lvl w:ilvl="0" w:tentative="0">
      <w:start w:val="1"/>
      <w:numFmt w:val="bullet"/>
      <w:lvlText w:val=""/>
      <w:lvlJc w:val="left"/>
      <w:pPr>
        <w:ind w:left="420" w:hanging="420"/>
      </w:pPr>
      <w:rPr>
        <w:rFonts w:hint="default" w:ascii="Wingdings" w:hAnsi="Wingdings"/>
      </w:rPr>
    </w:lvl>
  </w:abstractNum>
  <w:abstractNum w:abstractNumId="2">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pStyle w:val="68"/>
      <w:lvlText w:val="%1.%2.%3"/>
      <w:lvlJc w:val="left"/>
      <w:pPr>
        <w:ind w:left="1224" w:hanging="504"/>
      </w:pPr>
      <w:rPr>
        <w:rFonts w:hint="default"/>
        <w:b w:val="0"/>
      </w:rPr>
    </w:lvl>
    <w:lvl w:ilvl="3" w:tentative="0">
      <w:start w:val="1"/>
      <w:numFmt w:val="decimal"/>
      <w:lvlText w:val="%1.%2.%3.%4."/>
      <w:lvlJc w:val="left"/>
      <w:pPr>
        <w:ind w:left="1728" w:hanging="648"/>
      </w:pPr>
      <w:rPr>
        <w:rFonts w:hint="default"/>
        <w:b w:val="0"/>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3"/>
  </w:num>
  <w:num w:numId="2">
    <w:abstractNumId w:val="5"/>
  </w:num>
  <w:num w:numId="3">
    <w:abstractNumId w:val="4"/>
  </w:num>
  <w:num w:numId="4">
    <w:abstractNumId w:val="8"/>
  </w:num>
  <w:num w:numId="5">
    <w:abstractNumId w:val="6"/>
  </w:num>
  <w:num w:numId="6">
    <w:abstractNumId w:val="7"/>
  </w:num>
  <w:num w:numId="7">
    <w:abstractNumId w:val="0"/>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3468EF"/>
    <w:rsid w:val="014D65AB"/>
    <w:rsid w:val="016E368C"/>
    <w:rsid w:val="017B5E4B"/>
    <w:rsid w:val="018D054D"/>
    <w:rsid w:val="01D71285"/>
    <w:rsid w:val="01FF08B3"/>
    <w:rsid w:val="028676F2"/>
    <w:rsid w:val="02B274E2"/>
    <w:rsid w:val="02BD7990"/>
    <w:rsid w:val="02C25D33"/>
    <w:rsid w:val="030809EC"/>
    <w:rsid w:val="039A1BDA"/>
    <w:rsid w:val="03AE4991"/>
    <w:rsid w:val="03C6506D"/>
    <w:rsid w:val="03F37217"/>
    <w:rsid w:val="041B4E7D"/>
    <w:rsid w:val="041B5A4C"/>
    <w:rsid w:val="041F4676"/>
    <w:rsid w:val="047B40B2"/>
    <w:rsid w:val="04C77D0A"/>
    <w:rsid w:val="04D5204C"/>
    <w:rsid w:val="051F0641"/>
    <w:rsid w:val="059B61E4"/>
    <w:rsid w:val="05A86143"/>
    <w:rsid w:val="05D42FA6"/>
    <w:rsid w:val="06105DAC"/>
    <w:rsid w:val="066957D5"/>
    <w:rsid w:val="068A29F7"/>
    <w:rsid w:val="069766CC"/>
    <w:rsid w:val="07502CA2"/>
    <w:rsid w:val="078B76F8"/>
    <w:rsid w:val="079D410C"/>
    <w:rsid w:val="07B91916"/>
    <w:rsid w:val="07C928A9"/>
    <w:rsid w:val="07D3429D"/>
    <w:rsid w:val="07D735D1"/>
    <w:rsid w:val="07DE733C"/>
    <w:rsid w:val="080A5373"/>
    <w:rsid w:val="085564A9"/>
    <w:rsid w:val="08641205"/>
    <w:rsid w:val="0868025F"/>
    <w:rsid w:val="0873226E"/>
    <w:rsid w:val="08935729"/>
    <w:rsid w:val="08AF3F5E"/>
    <w:rsid w:val="08C654D4"/>
    <w:rsid w:val="08CC5D10"/>
    <w:rsid w:val="09052FED"/>
    <w:rsid w:val="092C45E6"/>
    <w:rsid w:val="099F556C"/>
    <w:rsid w:val="09AC0546"/>
    <w:rsid w:val="09C640C3"/>
    <w:rsid w:val="0A2F63A3"/>
    <w:rsid w:val="0A5763D4"/>
    <w:rsid w:val="0A7BF868"/>
    <w:rsid w:val="0A9573F8"/>
    <w:rsid w:val="0B206A21"/>
    <w:rsid w:val="0B7322DC"/>
    <w:rsid w:val="0BB77882"/>
    <w:rsid w:val="0BBC5E99"/>
    <w:rsid w:val="0C102F73"/>
    <w:rsid w:val="0C2A1653"/>
    <w:rsid w:val="0C3145B0"/>
    <w:rsid w:val="0C3C5307"/>
    <w:rsid w:val="0C56263C"/>
    <w:rsid w:val="0C5E2B8A"/>
    <w:rsid w:val="0CBB664F"/>
    <w:rsid w:val="0D102274"/>
    <w:rsid w:val="0DA958CA"/>
    <w:rsid w:val="0DF104D3"/>
    <w:rsid w:val="0E1C586B"/>
    <w:rsid w:val="0E1E6619"/>
    <w:rsid w:val="0E89175B"/>
    <w:rsid w:val="0E8A024B"/>
    <w:rsid w:val="0ED138E6"/>
    <w:rsid w:val="0F130B06"/>
    <w:rsid w:val="0F3856C4"/>
    <w:rsid w:val="0F4C5F28"/>
    <w:rsid w:val="0F5E58A7"/>
    <w:rsid w:val="0F67780F"/>
    <w:rsid w:val="0F8F3C2A"/>
    <w:rsid w:val="0F9F5663"/>
    <w:rsid w:val="0FB648CB"/>
    <w:rsid w:val="0FD0731A"/>
    <w:rsid w:val="0FF1533A"/>
    <w:rsid w:val="0FFE0AFA"/>
    <w:rsid w:val="1000683B"/>
    <w:rsid w:val="10732202"/>
    <w:rsid w:val="10860ED5"/>
    <w:rsid w:val="10AA3C13"/>
    <w:rsid w:val="10CA41CF"/>
    <w:rsid w:val="10CD0B75"/>
    <w:rsid w:val="110C4D24"/>
    <w:rsid w:val="11283655"/>
    <w:rsid w:val="113B0066"/>
    <w:rsid w:val="11483D7B"/>
    <w:rsid w:val="114A4434"/>
    <w:rsid w:val="11E57889"/>
    <w:rsid w:val="11F71F3A"/>
    <w:rsid w:val="1207649C"/>
    <w:rsid w:val="121A2A50"/>
    <w:rsid w:val="122017FC"/>
    <w:rsid w:val="12432F43"/>
    <w:rsid w:val="124B5A34"/>
    <w:rsid w:val="12753179"/>
    <w:rsid w:val="128409CA"/>
    <w:rsid w:val="12843280"/>
    <w:rsid w:val="12BB3A94"/>
    <w:rsid w:val="12EF585C"/>
    <w:rsid w:val="12FB3877"/>
    <w:rsid w:val="13262572"/>
    <w:rsid w:val="13516C3B"/>
    <w:rsid w:val="135A35EB"/>
    <w:rsid w:val="136D11EC"/>
    <w:rsid w:val="137D50D6"/>
    <w:rsid w:val="138845FC"/>
    <w:rsid w:val="139B3B65"/>
    <w:rsid w:val="13A62830"/>
    <w:rsid w:val="13D36053"/>
    <w:rsid w:val="13F75352"/>
    <w:rsid w:val="13FA5349"/>
    <w:rsid w:val="141E7377"/>
    <w:rsid w:val="1480544B"/>
    <w:rsid w:val="148A292B"/>
    <w:rsid w:val="14A25B1A"/>
    <w:rsid w:val="14B36B91"/>
    <w:rsid w:val="14BF6AA8"/>
    <w:rsid w:val="14D9405F"/>
    <w:rsid w:val="14DD4936"/>
    <w:rsid w:val="14DE3D1B"/>
    <w:rsid w:val="14E7242A"/>
    <w:rsid w:val="15DD3861"/>
    <w:rsid w:val="15FF5A47"/>
    <w:rsid w:val="16222725"/>
    <w:rsid w:val="162900B5"/>
    <w:rsid w:val="1634239A"/>
    <w:rsid w:val="16394032"/>
    <w:rsid w:val="164F667E"/>
    <w:rsid w:val="165D0583"/>
    <w:rsid w:val="16654289"/>
    <w:rsid w:val="16883865"/>
    <w:rsid w:val="16A53AC3"/>
    <w:rsid w:val="16AE4BFB"/>
    <w:rsid w:val="16BA6C12"/>
    <w:rsid w:val="16CB37AF"/>
    <w:rsid w:val="16DB79C9"/>
    <w:rsid w:val="16F55CC6"/>
    <w:rsid w:val="17141F2D"/>
    <w:rsid w:val="17147EFE"/>
    <w:rsid w:val="176F5C05"/>
    <w:rsid w:val="17705930"/>
    <w:rsid w:val="17A076C4"/>
    <w:rsid w:val="17A62BCE"/>
    <w:rsid w:val="17E12498"/>
    <w:rsid w:val="17E826AB"/>
    <w:rsid w:val="18407C50"/>
    <w:rsid w:val="1872258F"/>
    <w:rsid w:val="18D3414F"/>
    <w:rsid w:val="18D91924"/>
    <w:rsid w:val="19831412"/>
    <w:rsid w:val="19A96435"/>
    <w:rsid w:val="19E43A3D"/>
    <w:rsid w:val="1A0B3A21"/>
    <w:rsid w:val="1A352FE3"/>
    <w:rsid w:val="1A7F0493"/>
    <w:rsid w:val="1B3329B5"/>
    <w:rsid w:val="1B595D85"/>
    <w:rsid w:val="1B60067D"/>
    <w:rsid w:val="1B642DBE"/>
    <w:rsid w:val="1B7F155B"/>
    <w:rsid w:val="1BAE2A00"/>
    <w:rsid w:val="1BC25BB1"/>
    <w:rsid w:val="1C1B0DC7"/>
    <w:rsid w:val="1C5E2F54"/>
    <w:rsid w:val="1C7E2755"/>
    <w:rsid w:val="1C8A41D7"/>
    <w:rsid w:val="1C920085"/>
    <w:rsid w:val="1CA0799D"/>
    <w:rsid w:val="1CAE294B"/>
    <w:rsid w:val="1CB957E8"/>
    <w:rsid w:val="1CDA242C"/>
    <w:rsid w:val="1CFB2AC1"/>
    <w:rsid w:val="1D1F1294"/>
    <w:rsid w:val="1D425C11"/>
    <w:rsid w:val="1D85535E"/>
    <w:rsid w:val="1DB227A6"/>
    <w:rsid w:val="1DB41841"/>
    <w:rsid w:val="1DB81CBB"/>
    <w:rsid w:val="1DCF39D2"/>
    <w:rsid w:val="1DE45821"/>
    <w:rsid w:val="1DF64986"/>
    <w:rsid w:val="1E5E1170"/>
    <w:rsid w:val="1E8806BC"/>
    <w:rsid w:val="1EA137E3"/>
    <w:rsid w:val="1EC97F44"/>
    <w:rsid w:val="1F0936F5"/>
    <w:rsid w:val="1F17474D"/>
    <w:rsid w:val="1F1B7515"/>
    <w:rsid w:val="1F2B10F9"/>
    <w:rsid w:val="1F534182"/>
    <w:rsid w:val="1F711839"/>
    <w:rsid w:val="1F8A172B"/>
    <w:rsid w:val="1FA564C4"/>
    <w:rsid w:val="1FF2785D"/>
    <w:rsid w:val="200D067C"/>
    <w:rsid w:val="20811B82"/>
    <w:rsid w:val="20941E02"/>
    <w:rsid w:val="20A662B2"/>
    <w:rsid w:val="20DB6CA7"/>
    <w:rsid w:val="21091739"/>
    <w:rsid w:val="211451D0"/>
    <w:rsid w:val="211B0B99"/>
    <w:rsid w:val="21402B64"/>
    <w:rsid w:val="2151075A"/>
    <w:rsid w:val="2187422D"/>
    <w:rsid w:val="219E74A3"/>
    <w:rsid w:val="22271C95"/>
    <w:rsid w:val="22450C21"/>
    <w:rsid w:val="22571B82"/>
    <w:rsid w:val="22843CEF"/>
    <w:rsid w:val="22920D1D"/>
    <w:rsid w:val="22AA3A81"/>
    <w:rsid w:val="22C0245E"/>
    <w:rsid w:val="22C845ED"/>
    <w:rsid w:val="22DF0545"/>
    <w:rsid w:val="232F5D48"/>
    <w:rsid w:val="23514077"/>
    <w:rsid w:val="23855295"/>
    <w:rsid w:val="23B20773"/>
    <w:rsid w:val="23CF6D67"/>
    <w:rsid w:val="23E50899"/>
    <w:rsid w:val="23E92C0B"/>
    <w:rsid w:val="24081FAC"/>
    <w:rsid w:val="241F6375"/>
    <w:rsid w:val="248F188B"/>
    <w:rsid w:val="24BD0518"/>
    <w:rsid w:val="24E91488"/>
    <w:rsid w:val="25077EC5"/>
    <w:rsid w:val="256A021C"/>
    <w:rsid w:val="25962669"/>
    <w:rsid w:val="25C20278"/>
    <w:rsid w:val="25C545AD"/>
    <w:rsid w:val="25FB3256"/>
    <w:rsid w:val="262A3EB7"/>
    <w:rsid w:val="262D62D9"/>
    <w:rsid w:val="26681CAB"/>
    <w:rsid w:val="267E5FCE"/>
    <w:rsid w:val="26800AB6"/>
    <w:rsid w:val="26F618C3"/>
    <w:rsid w:val="27016D1C"/>
    <w:rsid w:val="27465B4B"/>
    <w:rsid w:val="27572E0B"/>
    <w:rsid w:val="2762235C"/>
    <w:rsid w:val="276537E8"/>
    <w:rsid w:val="27A9713B"/>
    <w:rsid w:val="27BE3159"/>
    <w:rsid w:val="28062AB3"/>
    <w:rsid w:val="280C272A"/>
    <w:rsid w:val="281B6C69"/>
    <w:rsid w:val="284E33F7"/>
    <w:rsid w:val="28527042"/>
    <w:rsid w:val="287A3770"/>
    <w:rsid w:val="28C759BF"/>
    <w:rsid w:val="290A138C"/>
    <w:rsid w:val="291A4010"/>
    <w:rsid w:val="293606FA"/>
    <w:rsid w:val="29517179"/>
    <w:rsid w:val="29582436"/>
    <w:rsid w:val="29E7086A"/>
    <w:rsid w:val="2A0E25C0"/>
    <w:rsid w:val="2A1219AD"/>
    <w:rsid w:val="2A394321"/>
    <w:rsid w:val="2A465BB6"/>
    <w:rsid w:val="2A7F1F2B"/>
    <w:rsid w:val="2AAF72F6"/>
    <w:rsid w:val="2AE26D3F"/>
    <w:rsid w:val="2AF125AB"/>
    <w:rsid w:val="2AF8774D"/>
    <w:rsid w:val="2B0F6E62"/>
    <w:rsid w:val="2B1B7C39"/>
    <w:rsid w:val="2B1F098E"/>
    <w:rsid w:val="2B3F4136"/>
    <w:rsid w:val="2B5F7B9D"/>
    <w:rsid w:val="2B6F3DB4"/>
    <w:rsid w:val="2B7579C5"/>
    <w:rsid w:val="2BB04900"/>
    <w:rsid w:val="2BB1476B"/>
    <w:rsid w:val="2BCD215E"/>
    <w:rsid w:val="2C1B2490"/>
    <w:rsid w:val="2C3757DB"/>
    <w:rsid w:val="2C3A3275"/>
    <w:rsid w:val="2C495744"/>
    <w:rsid w:val="2CA40E82"/>
    <w:rsid w:val="2CEE6B8D"/>
    <w:rsid w:val="2D233DAE"/>
    <w:rsid w:val="2D8E403A"/>
    <w:rsid w:val="2DC51DB6"/>
    <w:rsid w:val="2DF9626C"/>
    <w:rsid w:val="2DFD7A78"/>
    <w:rsid w:val="2E145F76"/>
    <w:rsid w:val="2E3E3E00"/>
    <w:rsid w:val="2E8501BE"/>
    <w:rsid w:val="2EA86D09"/>
    <w:rsid w:val="2ECE747D"/>
    <w:rsid w:val="2ED75EB5"/>
    <w:rsid w:val="2F32226B"/>
    <w:rsid w:val="2F376D10"/>
    <w:rsid w:val="2F880B3C"/>
    <w:rsid w:val="2FA231C5"/>
    <w:rsid w:val="2FFF7298"/>
    <w:rsid w:val="30266CFB"/>
    <w:rsid w:val="304E2B23"/>
    <w:rsid w:val="30775A8C"/>
    <w:rsid w:val="308B65F2"/>
    <w:rsid w:val="30A9337F"/>
    <w:rsid w:val="30E80BB0"/>
    <w:rsid w:val="30E90CA4"/>
    <w:rsid w:val="30EC3D98"/>
    <w:rsid w:val="30F5782F"/>
    <w:rsid w:val="3117229F"/>
    <w:rsid w:val="31395268"/>
    <w:rsid w:val="316D08AD"/>
    <w:rsid w:val="3197247E"/>
    <w:rsid w:val="31A50177"/>
    <w:rsid w:val="31DD775A"/>
    <w:rsid w:val="31ED10C9"/>
    <w:rsid w:val="320F0A18"/>
    <w:rsid w:val="32351CB2"/>
    <w:rsid w:val="324554E5"/>
    <w:rsid w:val="325D2B5A"/>
    <w:rsid w:val="327661FC"/>
    <w:rsid w:val="32B33B5A"/>
    <w:rsid w:val="32E16FE7"/>
    <w:rsid w:val="32E47AA3"/>
    <w:rsid w:val="32EA0FEB"/>
    <w:rsid w:val="32EE27B2"/>
    <w:rsid w:val="33372789"/>
    <w:rsid w:val="33373161"/>
    <w:rsid w:val="333876C2"/>
    <w:rsid w:val="33484A1E"/>
    <w:rsid w:val="335F47E9"/>
    <w:rsid w:val="33FB17D8"/>
    <w:rsid w:val="34693A6E"/>
    <w:rsid w:val="346E4104"/>
    <w:rsid w:val="3476470C"/>
    <w:rsid w:val="34D83C16"/>
    <w:rsid w:val="34F42A3D"/>
    <w:rsid w:val="3509315E"/>
    <w:rsid w:val="351A4CC6"/>
    <w:rsid w:val="36E65368"/>
    <w:rsid w:val="371440A5"/>
    <w:rsid w:val="37705F34"/>
    <w:rsid w:val="377700B0"/>
    <w:rsid w:val="37857872"/>
    <w:rsid w:val="379C48BE"/>
    <w:rsid w:val="37AF7036"/>
    <w:rsid w:val="37D82686"/>
    <w:rsid w:val="380927B5"/>
    <w:rsid w:val="381F0B0E"/>
    <w:rsid w:val="382139EC"/>
    <w:rsid w:val="382C697D"/>
    <w:rsid w:val="3876150B"/>
    <w:rsid w:val="38D03C78"/>
    <w:rsid w:val="38EF03A6"/>
    <w:rsid w:val="38F0125F"/>
    <w:rsid w:val="3900577A"/>
    <w:rsid w:val="391636FA"/>
    <w:rsid w:val="392739EA"/>
    <w:rsid w:val="392D38AD"/>
    <w:rsid w:val="3946679B"/>
    <w:rsid w:val="394D1646"/>
    <w:rsid w:val="399A43EA"/>
    <w:rsid w:val="3A0F1960"/>
    <w:rsid w:val="3A166029"/>
    <w:rsid w:val="3A431070"/>
    <w:rsid w:val="3A6B6F88"/>
    <w:rsid w:val="3A977F34"/>
    <w:rsid w:val="3AA17126"/>
    <w:rsid w:val="3AC125B3"/>
    <w:rsid w:val="3AF216E5"/>
    <w:rsid w:val="3B0B15C3"/>
    <w:rsid w:val="3B30671A"/>
    <w:rsid w:val="3B5555F7"/>
    <w:rsid w:val="3B5662AC"/>
    <w:rsid w:val="3B981241"/>
    <w:rsid w:val="3BA62A90"/>
    <w:rsid w:val="3BBB2E68"/>
    <w:rsid w:val="3C8823DF"/>
    <w:rsid w:val="3C9D0254"/>
    <w:rsid w:val="3C9F5B7F"/>
    <w:rsid w:val="3CBC001C"/>
    <w:rsid w:val="3CC5729E"/>
    <w:rsid w:val="3CCE203C"/>
    <w:rsid w:val="3D087EC6"/>
    <w:rsid w:val="3D0C1655"/>
    <w:rsid w:val="3D4E48C8"/>
    <w:rsid w:val="3D50421B"/>
    <w:rsid w:val="3D77737D"/>
    <w:rsid w:val="3D807C08"/>
    <w:rsid w:val="3DBF5349"/>
    <w:rsid w:val="3DC04E13"/>
    <w:rsid w:val="3DCC0A6F"/>
    <w:rsid w:val="3DD244E7"/>
    <w:rsid w:val="3DF03916"/>
    <w:rsid w:val="3E132617"/>
    <w:rsid w:val="3E1747FA"/>
    <w:rsid w:val="3E2E7EE8"/>
    <w:rsid w:val="3E5B41D6"/>
    <w:rsid w:val="3E7D466F"/>
    <w:rsid w:val="3E964B98"/>
    <w:rsid w:val="3EAD26A1"/>
    <w:rsid w:val="3ECE16FA"/>
    <w:rsid w:val="3F3542FD"/>
    <w:rsid w:val="3F3D7D5A"/>
    <w:rsid w:val="3F4118C8"/>
    <w:rsid w:val="3F472F07"/>
    <w:rsid w:val="3F5C676A"/>
    <w:rsid w:val="3F651AFB"/>
    <w:rsid w:val="3F6A392E"/>
    <w:rsid w:val="3FF55768"/>
    <w:rsid w:val="40093B4F"/>
    <w:rsid w:val="40350A49"/>
    <w:rsid w:val="40460408"/>
    <w:rsid w:val="40462AC9"/>
    <w:rsid w:val="40566CBF"/>
    <w:rsid w:val="40662F6F"/>
    <w:rsid w:val="40776BAF"/>
    <w:rsid w:val="407921CE"/>
    <w:rsid w:val="407E35C5"/>
    <w:rsid w:val="40C04FE0"/>
    <w:rsid w:val="40E55B37"/>
    <w:rsid w:val="418530B3"/>
    <w:rsid w:val="41AA7137"/>
    <w:rsid w:val="41AF6A7A"/>
    <w:rsid w:val="41EC58FB"/>
    <w:rsid w:val="41F931F1"/>
    <w:rsid w:val="42157286"/>
    <w:rsid w:val="422A484C"/>
    <w:rsid w:val="422A51CF"/>
    <w:rsid w:val="4231331F"/>
    <w:rsid w:val="42381A71"/>
    <w:rsid w:val="426B0C9E"/>
    <w:rsid w:val="42841694"/>
    <w:rsid w:val="429266C7"/>
    <w:rsid w:val="42AF1322"/>
    <w:rsid w:val="42B30ACF"/>
    <w:rsid w:val="42D25CAE"/>
    <w:rsid w:val="42E73C10"/>
    <w:rsid w:val="43364422"/>
    <w:rsid w:val="43536857"/>
    <w:rsid w:val="43BB7215"/>
    <w:rsid w:val="43BC4F26"/>
    <w:rsid w:val="43EE582E"/>
    <w:rsid w:val="43F26C2E"/>
    <w:rsid w:val="43FB3DA4"/>
    <w:rsid w:val="44100560"/>
    <w:rsid w:val="441C4006"/>
    <w:rsid w:val="44752C18"/>
    <w:rsid w:val="449E489D"/>
    <w:rsid w:val="44B24294"/>
    <w:rsid w:val="44CF520F"/>
    <w:rsid w:val="44D50483"/>
    <w:rsid w:val="451019FB"/>
    <w:rsid w:val="451B2715"/>
    <w:rsid w:val="45361837"/>
    <w:rsid w:val="4543370D"/>
    <w:rsid w:val="455B13AC"/>
    <w:rsid w:val="45975FBC"/>
    <w:rsid w:val="45CF3CD0"/>
    <w:rsid w:val="45F6393A"/>
    <w:rsid w:val="46037BDC"/>
    <w:rsid w:val="460567D8"/>
    <w:rsid w:val="4626023B"/>
    <w:rsid w:val="462F25DF"/>
    <w:rsid w:val="46620161"/>
    <w:rsid w:val="46C17C69"/>
    <w:rsid w:val="46E63986"/>
    <w:rsid w:val="46FC7DAE"/>
    <w:rsid w:val="470463F8"/>
    <w:rsid w:val="47971B97"/>
    <w:rsid w:val="479F63EE"/>
    <w:rsid w:val="47C304FD"/>
    <w:rsid w:val="47C357A6"/>
    <w:rsid w:val="47D77F02"/>
    <w:rsid w:val="4815186D"/>
    <w:rsid w:val="481C0488"/>
    <w:rsid w:val="485A4BA7"/>
    <w:rsid w:val="487C3875"/>
    <w:rsid w:val="48977283"/>
    <w:rsid w:val="48A90F1E"/>
    <w:rsid w:val="48AB4E6F"/>
    <w:rsid w:val="48D87023"/>
    <w:rsid w:val="48FA3778"/>
    <w:rsid w:val="4975258C"/>
    <w:rsid w:val="49896512"/>
    <w:rsid w:val="4996414B"/>
    <w:rsid w:val="49987D21"/>
    <w:rsid w:val="49BA3D71"/>
    <w:rsid w:val="49CC5B3C"/>
    <w:rsid w:val="49FD54E4"/>
    <w:rsid w:val="4A3011C6"/>
    <w:rsid w:val="4A591999"/>
    <w:rsid w:val="4A5C70F1"/>
    <w:rsid w:val="4AAD275D"/>
    <w:rsid w:val="4AB61A05"/>
    <w:rsid w:val="4AF26B9D"/>
    <w:rsid w:val="4B2A374A"/>
    <w:rsid w:val="4B2B1C31"/>
    <w:rsid w:val="4B48494A"/>
    <w:rsid w:val="4B4D3210"/>
    <w:rsid w:val="4B7E5274"/>
    <w:rsid w:val="4BB65435"/>
    <w:rsid w:val="4BCE1489"/>
    <w:rsid w:val="4BCE28BF"/>
    <w:rsid w:val="4BE22883"/>
    <w:rsid w:val="4BEA1EE4"/>
    <w:rsid w:val="4BF830BC"/>
    <w:rsid w:val="4C293566"/>
    <w:rsid w:val="4C2C1C2C"/>
    <w:rsid w:val="4C4E4313"/>
    <w:rsid w:val="4C553BEB"/>
    <w:rsid w:val="4C663381"/>
    <w:rsid w:val="4C723787"/>
    <w:rsid w:val="4C783FE1"/>
    <w:rsid w:val="4C8538D7"/>
    <w:rsid w:val="4CF05EAC"/>
    <w:rsid w:val="4D102CB4"/>
    <w:rsid w:val="4D496F28"/>
    <w:rsid w:val="4D9E609E"/>
    <w:rsid w:val="4E0243C8"/>
    <w:rsid w:val="4E345636"/>
    <w:rsid w:val="4E4B7F63"/>
    <w:rsid w:val="4E652C5C"/>
    <w:rsid w:val="4E9105E7"/>
    <w:rsid w:val="4EB053BD"/>
    <w:rsid w:val="4ED36EFC"/>
    <w:rsid w:val="4ED84E86"/>
    <w:rsid w:val="4F7E6A12"/>
    <w:rsid w:val="4FBC6FAF"/>
    <w:rsid w:val="4FDC68F3"/>
    <w:rsid w:val="4FE74185"/>
    <w:rsid w:val="4FFF46BE"/>
    <w:rsid w:val="50005DA1"/>
    <w:rsid w:val="5041435B"/>
    <w:rsid w:val="50564CCA"/>
    <w:rsid w:val="505A1CB0"/>
    <w:rsid w:val="5090049B"/>
    <w:rsid w:val="509778C7"/>
    <w:rsid w:val="5170523B"/>
    <w:rsid w:val="51773E2A"/>
    <w:rsid w:val="51813803"/>
    <w:rsid w:val="519A116B"/>
    <w:rsid w:val="51A40397"/>
    <w:rsid w:val="51C53170"/>
    <w:rsid w:val="5280421D"/>
    <w:rsid w:val="52BF27F0"/>
    <w:rsid w:val="530F6914"/>
    <w:rsid w:val="535E62F0"/>
    <w:rsid w:val="5361709F"/>
    <w:rsid w:val="53705401"/>
    <w:rsid w:val="537509F0"/>
    <w:rsid w:val="53752E8D"/>
    <w:rsid w:val="53832E83"/>
    <w:rsid w:val="53A24A91"/>
    <w:rsid w:val="53AA30EC"/>
    <w:rsid w:val="53D005D1"/>
    <w:rsid w:val="540D782C"/>
    <w:rsid w:val="54151575"/>
    <w:rsid w:val="542F1421"/>
    <w:rsid w:val="54342D0E"/>
    <w:rsid w:val="543973F0"/>
    <w:rsid w:val="543B3AF3"/>
    <w:rsid w:val="544B51D2"/>
    <w:rsid w:val="544F7EFC"/>
    <w:rsid w:val="546C32BA"/>
    <w:rsid w:val="547733F4"/>
    <w:rsid w:val="54B156BA"/>
    <w:rsid w:val="54F516DC"/>
    <w:rsid w:val="550D509F"/>
    <w:rsid w:val="5521652D"/>
    <w:rsid w:val="5553143F"/>
    <w:rsid w:val="55803BD8"/>
    <w:rsid w:val="55B42DC5"/>
    <w:rsid w:val="55C82763"/>
    <w:rsid w:val="55CE50F9"/>
    <w:rsid w:val="56063D06"/>
    <w:rsid w:val="561E43E8"/>
    <w:rsid w:val="56243301"/>
    <w:rsid w:val="567B20DA"/>
    <w:rsid w:val="56943FE8"/>
    <w:rsid w:val="56DA5A5F"/>
    <w:rsid w:val="56EB4F69"/>
    <w:rsid w:val="57563E7B"/>
    <w:rsid w:val="57600E00"/>
    <w:rsid w:val="577E3F1D"/>
    <w:rsid w:val="57C70008"/>
    <w:rsid w:val="586B2608"/>
    <w:rsid w:val="5879595C"/>
    <w:rsid w:val="588331BE"/>
    <w:rsid w:val="58BB22A0"/>
    <w:rsid w:val="58D16F7B"/>
    <w:rsid w:val="592D7AE2"/>
    <w:rsid w:val="593554F0"/>
    <w:rsid w:val="59BA5947"/>
    <w:rsid w:val="59F967B7"/>
    <w:rsid w:val="5A194DBF"/>
    <w:rsid w:val="5A3078C5"/>
    <w:rsid w:val="5A345E12"/>
    <w:rsid w:val="5A683B4A"/>
    <w:rsid w:val="5A7A4DB9"/>
    <w:rsid w:val="5AC16AE9"/>
    <w:rsid w:val="5ADF3A74"/>
    <w:rsid w:val="5AE53367"/>
    <w:rsid w:val="5B0B0083"/>
    <w:rsid w:val="5B1254E6"/>
    <w:rsid w:val="5BC3228B"/>
    <w:rsid w:val="5BDB5EE7"/>
    <w:rsid w:val="5BFC28DA"/>
    <w:rsid w:val="5C3B1FEA"/>
    <w:rsid w:val="5C6A01BF"/>
    <w:rsid w:val="5C792CC0"/>
    <w:rsid w:val="5CC64B8C"/>
    <w:rsid w:val="5CCB2C0B"/>
    <w:rsid w:val="5CEB6783"/>
    <w:rsid w:val="5D041ECD"/>
    <w:rsid w:val="5D4807BB"/>
    <w:rsid w:val="5D5A4DD1"/>
    <w:rsid w:val="5D5E1AC8"/>
    <w:rsid w:val="5E051414"/>
    <w:rsid w:val="5E206741"/>
    <w:rsid w:val="5E2D4C21"/>
    <w:rsid w:val="5E766F1E"/>
    <w:rsid w:val="5E820037"/>
    <w:rsid w:val="5EE41E2E"/>
    <w:rsid w:val="5F0F00DA"/>
    <w:rsid w:val="5F9F42F8"/>
    <w:rsid w:val="5FA105D0"/>
    <w:rsid w:val="5FCE0504"/>
    <w:rsid w:val="60017F85"/>
    <w:rsid w:val="60032276"/>
    <w:rsid w:val="600C3AE0"/>
    <w:rsid w:val="6045086B"/>
    <w:rsid w:val="607356CF"/>
    <w:rsid w:val="60745B63"/>
    <w:rsid w:val="60AC01F6"/>
    <w:rsid w:val="60B5537F"/>
    <w:rsid w:val="60BC1BBF"/>
    <w:rsid w:val="60E50451"/>
    <w:rsid w:val="60F55882"/>
    <w:rsid w:val="60F64A32"/>
    <w:rsid w:val="61051332"/>
    <w:rsid w:val="616A21E7"/>
    <w:rsid w:val="61856B0D"/>
    <w:rsid w:val="61B601DF"/>
    <w:rsid w:val="623928B9"/>
    <w:rsid w:val="62812953"/>
    <w:rsid w:val="62B7743E"/>
    <w:rsid w:val="62B8352F"/>
    <w:rsid w:val="62DD3C86"/>
    <w:rsid w:val="62EF63FA"/>
    <w:rsid w:val="63061571"/>
    <w:rsid w:val="6307449D"/>
    <w:rsid w:val="632B39DC"/>
    <w:rsid w:val="636038D9"/>
    <w:rsid w:val="639D47D1"/>
    <w:rsid w:val="63C84437"/>
    <w:rsid w:val="64116858"/>
    <w:rsid w:val="6429194D"/>
    <w:rsid w:val="642B0065"/>
    <w:rsid w:val="64310139"/>
    <w:rsid w:val="64550D9E"/>
    <w:rsid w:val="648727EC"/>
    <w:rsid w:val="648D5222"/>
    <w:rsid w:val="649D0CB0"/>
    <w:rsid w:val="64B2258D"/>
    <w:rsid w:val="64DE359C"/>
    <w:rsid w:val="64E30C9E"/>
    <w:rsid w:val="64E86D2F"/>
    <w:rsid w:val="653867AF"/>
    <w:rsid w:val="657C25FC"/>
    <w:rsid w:val="65997784"/>
    <w:rsid w:val="65A976E6"/>
    <w:rsid w:val="65C64C37"/>
    <w:rsid w:val="65D01190"/>
    <w:rsid w:val="66197BB5"/>
    <w:rsid w:val="66AB371C"/>
    <w:rsid w:val="66AE1192"/>
    <w:rsid w:val="66CA69C3"/>
    <w:rsid w:val="6749368B"/>
    <w:rsid w:val="6752741C"/>
    <w:rsid w:val="675B5F74"/>
    <w:rsid w:val="6794708A"/>
    <w:rsid w:val="6797333C"/>
    <w:rsid w:val="679B4C9F"/>
    <w:rsid w:val="679D5B21"/>
    <w:rsid w:val="67BD5472"/>
    <w:rsid w:val="67CE0CE2"/>
    <w:rsid w:val="67DA4215"/>
    <w:rsid w:val="67E42DFA"/>
    <w:rsid w:val="67ED44CB"/>
    <w:rsid w:val="681D58BA"/>
    <w:rsid w:val="68EB3ADC"/>
    <w:rsid w:val="69240005"/>
    <w:rsid w:val="69462386"/>
    <w:rsid w:val="694B5531"/>
    <w:rsid w:val="697206C8"/>
    <w:rsid w:val="698624ED"/>
    <w:rsid w:val="69C96ADD"/>
    <w:rsid w:val="69DC5A3B"/>
    <w:rsid w:val="69E50464"/>
    <w:rsid w:val="6A12713E"/>
    <w:rsid w:val="6A2F06BE"/>
    <w:rsid w:val="6A7016FE"/>
    <w:rsid w:val="6AE007F2"/>
    <w:rsid w:val="6AFC6812"/>
    <w:rsid w:val="6B5E2EC6"/>
    <w:rsid w:val="6B7575DB"/>
    <w:rsid w:val="6C42065A"/>
    <w:rsid w:val="6C6F44FD"/>
    <w:rsid w:val="6C7A590C"/>
    <w:rsid w:val="6C8C6D07"/>
    <w:rsid w:val="6C9E7796"/>
    <w:rsid w:val="6CB759F8"/>
    <w:rsid w:val="6CD4731D"/>
    <w:rsid w:val="6D121910"/>
    <w:rsid w:val="6D3205F0"/>
    <w:rsid w:val="6D4C048E"/>
    <w:rsid w:val="6D5C5991"/>
    <w:rsid w:val="6D681BA3"/>
    <w:rsid w:val="6D862B60"/>
    <w:rsid w:val="6DB702B4"/>
    <w:rsid w:val="6DDA285B"/>
    <w:rsid w:val="6E120660"/>
    <w:rsid w:val="6E4462CC"/>
    <w:rsid w:val="6E482C86"/>
    <w:rsid w:val="6E504618"/>
    <w:rsid w:val="6EAF0603"/>
    <w:rsid w:val="6EB20078"/>
    <w:rsid w:val="6F5579D7"/>
    <w:rsid w:val="6F801AF8"/>
    <w:rsid w:val="6F8D5AAE"/>
    <w:rsid w:val="6FA64A85"/>
    <w:rsid w:val="6FB57303"/>
    <w:rsid w:val="6FB7010B"/>
    <w:rsid w:val="6FFF59CB"/>
    <w:rsid w:val="70160759"/>
    <w:rsid w:val="70200B37"/>
    <w:rsid w:val="7037013D"/>
    <w:rsid w:val="70441230"/>
    <w:rsid w:val="704E4A67"/>
    <w:rsid w:val="70995673"/>
    <w:rsid w:val="70AA0AC2"/>
    <w:rsid w:val="70AA24EA"/>
    <w:rsid w:val="70B97CE8"/>
    <w:rsid w:val="70D46C56"/>
    <w:rsid w:val="70EA7511"/>
    <w:rsid w:val="71143E21"/>
    <w:rsid w:val="71616F10"/>
    <w:rsid w:val="71C93578"/>
    <w:rsid w:val="72867A39"/>
    <w:rsid w:val="72EE3608"/>
    <w:rsid w:val="72F37E30"/>
    <w:rsid w:val="7318185D"/>
    <w:rsid w:val="7322549D"/>
    <w:rsid w:val="7327462F"/>
    <w:rsid w:val="732F59FD"/>
    <w:rsid w:val="73364BC8"/>
    <w:rsid w:val="734B5574"/>
    <w:rsid w:val="7355417D"/>
    <w:rsid w:val="736C3FBB"/>
    <w:rsid w:val="73821201"/>
    <w:rsid w:val="73A85DC8"/>
    <w:rsid w:val="73C54686"/>
    <w:rsid w:val="73D14742"/>
    <w:rsid w:val="73E217DB"/>
    <w:rsid w:val="73ED43C1"/>
    <w:rsid w:val="740F6E24"/>
    <w:rsid w:val="741866C3"/>
    <w:rsid w:val="74285611"/>
    <w:rsid w:val="7430057A"/>
    <w:rsid w:val="74573DE9"/>
    <w:rsid w:val="74626087"/>
    <w:rsid w:val="749D37F7"/>
    <w:rsid w:val="74BC6C8B"/>
    <w:rsid w:val="74D53B99"/>
    <w:rsid w:val="754C1AAF"/>
    <w:rsid w:val="75CF2BC9"/>
    <w:rsid w:val="76242FB1"/>
    <w:rsid w:val="762B3711"/>
    <w:rsid w:val="764C12D0"/>
    <w:rsid w:val="76696B17"/>
    <w:rsid w:val="76696D01"/>
    <w:rsid w:val="76991F3B"/>
    <w:rsid w:val="76BD4E1F"/>
    <w:rsid w:val="76D8737F"/>
    <w:rsid w:val="76E279D7"/>
    <w:rsid w:val="76FC2715"/>
    <w:rsid w:val="7718204C"/>
    <w:rsid w:val="772E0626"/>
    <w:rsid w:val="7752184A"/>
    <w:rsid w:val="7754709D"/>
    <w:rsid w:val="776E285A"/>
    <w:rsid w:val="77B02D8D"/>
    <w:rsid w:val="77B23404"/>
    <w:rsid w:val="77C0093D"/>
    <w:rsid w:val="77C90B9C"/>
    <w:rsid w:val="77DA67CE"/>
    <w:rsid w:val="77DB4D3A"/>
    <w:rsid w:val="77EF22D8"/>
    <w:rsid w:val="7811438D"/>
    <w:rsid w:val="78204380"/>
    <w:rsid w:val="78384CBC"/>
    <w:rsid w:val="784258BF"/>
    <w:rsid w:val="78A60F03"/>
    <w:rsid w:val="793758F2"/>
    <w:rsid w:val="79C0590F"/>
    <w:rsid w:val="7A080BBF"/>
    <w:rsid w:val="7A4F2396"/>
    <w:rsid w:val="7A787ECB"/>
    <w:rsid w:val="7A875FC6"/>
    <w:rsid w:val="7A8B51CB"/>
    <w:rsid w:val="7A984514"/>
    <w:rsid w:val="7AB507FA"/>
    <w:rsid w:val="7AC634CB"/>
    <w:rsid w:val="7ACB482C"/>
    <w:rsid w:val="7AE7260F"/>
    <w:rsid w:val="7AEB331B"/>
    <w:rsid w:val="7AF137EF"/>
    <w:rsid w:val="7B100283"/>
    <w:rsid w:val="7B2531D6"/>
    <w:rsid w:val="7B5B11D8"/>
    <w:rsid w:val="7BB76EB8"/>
    <w:rsid w:val="7BC61E70"/>
    <w:rsid w:val="7C41564D"/>
    <w:rsid w:val="7C8E16C9"/>
    <w:rsid w:val="7C91123B"/>
    <w:rsid w:val="7CA10AF6"/>
    <w:rsid w:val="7CB40C4A"/>
    <w:rsid w:val="7CB561C0"/>
    <w:rsid w:val="7CCC277F"/>
    <w:rsid w:val="7CCD3BF4"/>
    <w:rsid w:val="7CE3033A"/>
    <w:rsid w:val="7D0A2590"/>
    <w:rsid w:val="7D215010"/>
    <w:rsid w:val="7D550752"/>
    <w:rsid w:val="7D5B3C9B"/>
    <w:rsid w:val="7D6A7A29"/>
    <w:rsid w:val="7D712B47"/>
    <w:rsid w:val="7DA0035E"/>
    <w:rsid w:val="7DCC5A45"/>
    <w:rsid w:val="7E630B4F"/>
    <w:rsid w:val="7E7810A8"/>
    <w:rsid w:val="7E8B6D0C"/>
    <w:rsid w:val="7EC42BC7"/>
    <w:rsid w:val="7EFA29D7"/>
    <w:rsid w:val="7F285EA4"/>
    <w:rsid w:val="7F787EDB"/>
    <w:rsid w:val="7F8E2750"/>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7">
    <w:name w:val="annotation text"/>
    <w:basedOn w:val="1"/>
    <w:link w:val="59"/>
    <w:semiHidden/>
    <w:unhideWhenUsed/>
    <w:qFormat/>
    <w:uiPriority w:val="99"/>
    <w:pPr>
      <w:spacing w:line="240" w:lineRule="auto"/>
    </w:pPr>
    <w:rPr>
      <w:szCs w:val="20"/>
    </w:rPr>
  </w:style>
  <w:style w:type="paragraph" w:styleId="8">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2">
    <w:name w:val="header"/>
    <w:basedOn w:val="1"/>
    <w:link w:val="54"/>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60"/>
    <w:semiHidden/>
    <w:unhideWhenUsed/>
    <w:qFormat/>
    <w:uiPriority w:val="99"/>
    <w:rPr>
      <w:b/>
      <w:bCs/>
    </w:rPr>
  </w:style>
  <w:style w:type="table" w:styleId="19">
    <w:name w:val="Table Grid"/>
    <w:basedOn w:val="18"/>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basedOn w:val="20"/>
    <w:semiHidden/>
    <w:unhideWhenUsed/>
    <w:qFormat/>
    <w:uiPriority w:val="99"/>
    <w:rPr>
      <w:sz w:val="16"/>
      <w:szCs w:val="16"/>
    </w:rPr>
  </w:style>
  <w:style w:type="character" w:customStyle="1" w:styleId="25">
    <w:name w:val="标题 2 Char"/>
    <w:basedOn w:val="20"/>
    <w:link w:val="3"/>
    <w:qFormat/>
    <w:uiPriority w:val="0"/>
    <w:rPr>
      <w:rFonts w:ascii="Arial" w:hAnsi="Arial" w:eastAsia="Times New Roman" w:cs="Times New Roman"/>
      <w:sz w:val="32"/>
      <w:szCs w:val="20"/>
      <w:lang w:val="en-GB"/>
    </w:rPr>
  </w:style>
  <w:style w:type="character" w:customStyle="1" w:styleId="26">
    <w:name w:val="标题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0"/>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0"/>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6"/>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0"/>
    <w:link w:val="6"/>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0"/>
    <w:semiHidden/>
    <w:unhideWhenUsed/>
    <w:qFormat/>
    <w:uiPriority w:val="99"/>
    <w:rPr>
      <w:color w:val="808080"/>
      <w:shd w:val="clear" w:color="auto" w:fill="E6E6E6"/>
    </w:rPr>
  </w:style>
  <w:style w:type="character" w:customStyle="1" w:styleId="44">
    <w:name w:val="标题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0"/>
    <w:link w:val="8"/>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0"/>
    <w:link w:val="12"/>
    <w:semiHidden/>
    <w:qFormat/>
    <w:locked/>
    <w:uiPriority w:val="0"/>
    <w:rPr>
      <w:rFonts w:ascii="Tms Rmn" w:hAnsi="Tms Rmn"/>
      <w:b/>
      <w:sz w:val="18"/>
    </w:rPr>
  </w:style>
  <w:style w:type="character" w:customStyle="1" w:styleId="55">
    <w:name w:val="Header Char1"/>
    <w:basedOn w:val="20"/>
    <w:semiHidden/>
    <w:qFormat/>
    <w:uiPriority w:val="99"/>
    <w:rPr>
      <w:rFonts w:ascii="Times New Roman" w:hAnsi="Times New Roman"/>
      <w:sz w:val="20"/>
    </w:rPr>
  </w:style>
  <w:style w:type="character" w:customStyle="1" w:styleId="56">
    <w:name w:val="批注框文本 Char"/>
    <w:basedOn w:val="20"/>
    <w:link w:val="11"/>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0"/>
    <w:link w:val="7"/>
    <w:semiHidden/>
    <w:qFormat/>
    <w:uiPriority w:val="99"/>
    <w:rPr>
      <w:rFonts w:ascii="Times New Roman" w:hAnsi="Times New Roman"/>
      <w:sz w:val="20"/>
      <w:szCs w:val="20"/>
    </w:rPr>
  </w:style>
  <w:style w:type="character" w:customStyle="1" w:styleId="60">
    <w:name w:val="批注主题 Char"/>
    <w:basedOn w:val="59"/>
    <w:link w:val="17"/>
    <w:semiHidden/>
    <w:qFormat/>
    <w:uiPriority w:val="99"/>
    <w:rPr>
      <w:rFonts w:ascii="Times New Roman" w:hAnsi="Times New Roman"/>
      <w:b/>
      <w:bCs/>
      <w:sz w:val="20"/>
      <w:szCs w:val="20"/>
    </w:rPr>
  </w:style>
  <w:style w:type="paragraph" w:customStyle="1" w:styleId="61">
    <w:name w:val="3GPP Normal Text"/>
    <w:basedOn w:val="8"/>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0"/>
    <w:qFormat/>
    <w:uiPriority w:val="0"/>
  </w:style>
  <w:style w:type="paragraph" w:customStyle="1" w:styleId="68">
    <w:name w:val="RAN4 H3"/>
    <w:basedOn w:val="1"/>
    <w:qFormat/>
    <w:uiPriority w:val="0"/>
    <w:pPr>
      <w:numPr>
        <w:ilvl w:val="2"/>
        <w:numId w:val="6"/>
      </w:numPr>
      <w:spacing w:after="160" w:line="259" w:lineRule="auto"/>
      <w:ind w:left="504"/>
    </w:pPr>
    <w:rPr>
      <w:rFonts w:ascii="Arial" w:hAnsi="Arial" w:cs="Arial" w:eastAsiaTheme="minorHAnsi"/>
      <w:sz w:val="24"/>
      <w:lang w:val="en-US" w:eastAsia="en-US"/>
    </w:rPr>
  </w:style>
  <w:style w:type="paragraph" w:customStyle="1" w:styleId="69">
    <w:name w:val="TAH"/>
    <w:basedOn w:val="1"/>
    <w:qFormat/>
    <w:uiPriority w:val="0"/>
    <w:pPr>
      <w:keepNext/>
      <w:keepLines/>
      <w:jc w:val="center"/>
    </w:pPr>
    <w:rPr>
      <w:rFonts w:ascii="Arial" w:hAnsi="Arial"/>
      <w:b/>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17870EBA-560E-4E7C-A664-22A449C60D13}">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24</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ZTE(Liu Wenhao)</cp:lastModifiedBy>
  <cp:lastPrinted>2019-04-29T06:52:00Z</cp:lastPrinted>
  <dcterms:modified xsi:type="dcterms:W3CDTF">2021-08-06T13:09:01Z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